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8" w:lineRule="exact"/>
        <w:rPr>
          <w:sz w:val="24"/>
          <w:szCs w:val="24"/>
          <w:color w:val="auto"/>
        </w:rPr>
      </w:pPr>
    </w:p>
    <w:p>
      <w:pPr>
        <w:ind w:left="3980" w:right="2580" w:hanging="1383"/>
        <w:spacing w:after="0" w:line="286" w:lineRule="auto"/>
        <w:tabs>
          <w:tab w:leader="none" w:pos="285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April 3, 2026</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2" w:lineRule="exact"/>
        <w:rPr>
          <w:sz w:val="24"/>
          <w:szCs w:val="24"/>
          <w:color w:val="auto"/>
        </w:rPr>
      </w:pPr>
    </w:p>
    <w:p>
      <w:pPr>
        <w:ind w:left="3980" w:right="2580" w:hanging="1389"/>
        <w:spacing w:after="0" w:line="286" w:lineRule="auto"/>
        <w:tabs>
          <w:tab w:leader="none" w:pos="284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6"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For the transition period from _________ to _________</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0-16255</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JOHNSON OUTDOORS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336"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Wisconsin</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39-1536083</w:t>
      </w:r>
    </w:p>
    <w:p>
      <w:pPr>
        <w:spacing w:after="0" w:line="42" w:lineRule="exact"/>
        <w:rPr>
          <w:sz w:val="24"/>
          <w:szCs w:val="24"/>
          <w:color w:val="auto"/>
        </w:rPr>
      </w:pPr>
    </w:p>
    <w:p>
      <w:pPr>
        <w:sectPr>
          <w:pgSz w:w="11900" w:h="16838" w:orient="portrait"/>
          <w:cols w:equalWidth="0" w:num="2">
            <w:col w:w="7360" w:space="720"/>
            <w:col w:w="3160"/>
          </w:cols>
          <w:pgMar w:left="320" w:top="1440" w:right="3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80" w:space="720"/>
            <w:col w:w="4040"/>
          </w:cols>
          <w:pgMar w:left="320" w:top="1440" w:right="339" w:bottom="1440" w:gutter="0" w:footer="0" w:header="0"/>
          <w:type w:val="continuous"/>
        </w:sectPr>
      </w:pP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555 Main Street, Racine, Wisconsin 53403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(262) 631-6600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7" w:lineRule="exact"/>
        <w:rPr>
          <w:sz w:val="24"/>
          <w:szCs w:val="24"/>
          <w:color w:val="auto"/>
        </w:rPr>
      </w:pPr>
    </w:p>
    <w:tbl>
      <w:tblPr>
        <w:tblLayout w:type="fixed"/>
        <w:tblInd w:w="10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3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332"/>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 $.05 par value per share</w:t>
            </w:r>
          </w:p>
        </w:tc>
        <w:tc>
          <w:tcPr>
            <w:tcW w:w="24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JOUT</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NASDAQ Global Select Market</w:t>
            </w:r>
            <w:r>
              <w:rPr>
                <w:rFonts w:ascii="Times New Roman" w:cs="Times New Roman" w:eastAsia="Times New Roman" w:hAnsi="Times New Roman"/>
                <w:sz w:val="23"/>
                <w:szCs w:val="23"/>
                <w:color w:val="auto"/>
                <w:vertAlign w:val="superscript"/>
              </w:rPr>
              <w:t>SM</w:t>
            </w:r>
          </w:p>
        </w:tc>
      </w:tr>
    </w:tbl>
    <w:p>
      <w:pPr>
        <w:spacing w:after="0" w:line="23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30, 2026, 9,268,482 shares of Class A and 1,206,210 shares of Class B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60" w:type="dxa"/>
            <w:vAlign w:val="bottom"/>
            <w:gridSpan w:val="11"/>
          </w:tcPr>
          <w:p>
            <w:pPr>
              <w:ind w:left="140"/>
              <w:spacing w:after="0"/>
              <w:rPr>
                <w:sz w:val="20"/>
                <w:szCs w:val="20"/>
                <w:color w:val="auto"/>
              </w:rPr>
            </w:pPr>
            <w:r>
              <w:rPr>
                <w:rFonts w:ascii="Times New Roman" w:cs="Times New Roman" w:eastAsia="Times New Roman" w:hAnsi="Times New Roman"/>
                <w:sz w:val="18"/>
                <w:szCs w:val="18"/>
                <w:b w:val="1"/>
                <w:bCs w:val="1"/>
                <w:color w:val="auto"/>
              </w:rPr>
              <w:t>JOHNSON OUTDOORS INC.</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3"/>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Page No.</w:t>
            </w:r>
          </w:p>
        </w:tc>
        <w:tc>
          <w:tcPr>
            <w:tcW w:w="0" w:type="dxa"/>
            <w:vAlign w:val="bottom"/>
          </w:tcPr>
          <w:p>
            <w:pPr>
              <w:spacing w:after="0"/>
              <w:rPr>
                <w:sz w:val="1"/>
                <w:szCs w:val="1"/>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93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auto"/>
              </w:rPr>
              <w:t>FINANCIAL INFORMATION</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spacing w:after="0"/>
              <w:rPr>
                <w:sz w:val="19"/>
                <w:szCs w:val="19"/>
                <w:color w:val="auto"/>
              </w:rPr>
            </w:pPr>
          </w:p>
        </w:tc>
        <w:tc>
          <w:tcPr>
            <w:tcW w:w="1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Item 1.</w:t>
            </w:r>
          </w:p>
        </w:tc>
        <w:tc>
          <w:tcPr>
            <w:tcW w:w="80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 Three and Six months ended April 3, 2026 and March</w:t>
            </w:r>
          </w:p>
        </w:tc>
        <w:tc>
          <w:tcPr>
            <w:tcW w:w="560" w:type="dxa"/>
            <w:vAlign w:val="bottom"/>
            <w:gridSpan w:val="2"/>
            <w:vMerge w:val="restart"/>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0000FF"/>
              </w:rPr>
              <w:t>- 1</w:t>
            </w:r>
          </w:p>
        </w:tc>
        <w:tc>
          <w:tcPr>
            <w:tcW w:w="4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4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0000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28, 2025</w:t>
            </w:r>
          </w:p>
        </w:tc>
        <w:tc>
          <w:tcPr>
            <w:tcW w:w="16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36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260" w:type="dxa"/>
            <w:vAlign w:val="bottom"/>
            <w:tcBorders>
              <w:top w:val="single" w:sz="8" w:color="0000FF"/>
            </w:tcBorders>
            <w:shd w:val="clear" w:color="auto" w:fill="CCEEFF"/>
          </w:tcPr>
          <w:p>
            <w:pPr>
              <w:spacing w:after="0"/>
              <w:rPr>
                <w:sz w:val="16"/>
                <w:szCs w:val="16"/>
                <w:color w:val="auto"/>
              </w:rPr>
            </w:pPr>
          </w:p>
        </w:tc>
        <w:tc>
          <w:tcPr>
            <w:tcW w:w="300" w:type="dxa"/>
            <w:vAlign w:val="bottom"/>
            <w:tcBorders>
              <w:top w:val="single" w:sz="8" w:color="0000FF"/>
            </w:tcBorders>
            <w:shd w:val="clear" w:color="auto" w:fill="CCEEFF"/>
          </w:tcPr>
          <w:p>
            <w:pPr>
              <w:spacing w:after="0"/>
              <w:rPr>
                <w:sz w:val="16"/>
                <w:szCs w:val="16"/>
                <w:color w:val="auto"/>
              </w:rPr>
            </w:pPr>
          </w:p>
        </w:tc>
        <w:tc>
          <w:tcPr>
            <w:tcW w:w="1660" w:type="dxa"/>
            <w:vAlign w:val="bottom"/>
            <w:tcBorders>
              <w:top w:val="single" w:sz="8" w:color="0000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2100" w:type="dxa"/>
            <w:vAlign w:val="bottom"/>
            <w:tcBorders>
              <w:top w:val="single" w:sz="8" w:color="0000FF"/>
            </w:tcBorders>
            <w:shd w:val="clear" w:color="auto" w:fill="CCEEFF"/>
          </w:tcPr>
          <w:p>
            <w:pPr>
              <w:spacing w:after="0"/>
              <w:rPr>
                <w:sz w:val="16"/>
                <w:szCs w:val="16"/>
                <w:color w:val="auto"/>
              </w:rPr>
            </w:pPr>
          </w:p>
        </w:tc>
        <w:tc>
          <w:tcPr>
            <w:tcW w:w="340" w:type="dxa"/>
            <w:vAlign w:val="bottom"/>
            <w:tcBorders>
              <w:top w:val="single" w:sz="8" w:color="0000FF"/>
            </w:tcBorders>
            <w:shd w:val="clear" w:color="auto" w:fill="CCEEFF"/>
          </w:tcPr>
          <w:p>
            <w:pPr>
              <w:spacing w:after="0"/>
              <w:rPr>
                <w:sz w:val="16"/>
                <w:szCs w:val="16"/>
                <w:color w:val="auto"/>
              </w:rPr>
            </w:pPr>
          </w:p>
        </w:tc>
        <w:tc>
          <w:tcPr>
            <w:tcW w:w="86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gridSpan w:val="2"/>
            <w:vMerge w:val="continue"/>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 - Three and Six months ended April</w:t>
            </w:r>
          </w:p>
        </w:tc>
        <w:tc>
          <w:tcPr>
            <w:tcW w:w="560" w:type="dxa"/>
            <w:vAlign w:val="bottom"/>
            <w:gridSpan w:val="2"/>
            <w:vMerge w:val="restart"/>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0000FF"/>
              </w:rPr>
              <w:t>- 2</w:t>
            </w:r>
          </w:p>
        </w:tc>
        <w:tc>
          <w:tcPr>
            <w:tcW w:w="4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7720" w:type="dxa"/>
            <w:vAlign w:val="bottom"/>
            <w:tcBorders>
              <w:top w:val="single" w:sz="8" w:color="0000FF"/>
            </w:tcBorders>
            <w:gridSpan w:val="20"/>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3, 2026 and March 28, 2025</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gridSpan w:val="2"/>
            <w:vMerge w:val="continue"/>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 April 3, 2026, October 3, 2025 and March 28, 2025</w:t>
            </w:r>
          </w:p>
        </w:tc>
        <w:tc>
          <w:tcPr>
            <w:tcW w:w="560" w:type="dxa"/>
            <w:vAlign w:val="bottom"/>
            <w:gridSpan w:val="2"/>
            <w:shd w:val="clear" w:color="auto" w:fill="CCEEFF"/>
          </w:tcPr>
          <w:p>
            <w:pPr>
              <w:jc w:val="center"/>
              <w:ind w:left="230"/>
              <w:spacing w:after="0" w:line="189" w:lineRule="exact"/>
              <w:rPr>
                <w:sz w:val="20"/>
                <w:szCs w:val="20"/>
                <w:color w:val="auto"/>
              </w:rPr>
            </w:pPr>
            <w:r>
              <w:rPr>
                <w:rFonts w:ascii="Times New Roman" w:cs="Times New Roman" w:eastAsia="Times New Roman" w:hAnsi="Times New Roman"/>
                <w:sz w:val="18"/>
                <w:szCs w:val="18"/>
                <w:color w:val="0000FF"/>
              </w:rPr>
              <w:t>- 3</w:t>
            </w: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6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10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Shareholders' Equity - Three and Six months ended April 3, 2026 and</w:t>
            </w:r>
          </w:p>
        </w:tc>
        <w:tc>
          <w:tcPr>
            <w:tcW w:w="560" w:type="dxa"/>
            <w:vAlign w:val="bottom"/>
            <w:gridSpan w:val="2"/>
            <w:vMerge w:val="restart"/>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0000FF"/>
              </w:rPr>
              <w:t>- 4</w:t>
            </w:r>
          </w:p>
        </w:tc>
        <w:tc>
          <w:tcPr>
            <w:tcW w:w="4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4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7900" w:type="dxa"/>
            <w:vAlign w:val="bottom"/>
            <w:tcBorders>
              <w:top w:val="single" w:sz="8" w:color="0000FF"/>
            </w:tcBorders>
            <w:gridSpan w:val="21"/>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March 28, 2025</w:t>
            </w: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gridSpan w:val="2"/>
            <w:vMerge w:val="continue"/>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940" w:type="dxa"/>
            <w:vAlign w:val="bottom"/>
            <w:tcBorders>
              <w:top w:val="single" w:sz="8" w:color="CCEEFF"/>
            </w:tcBorders>
          </w:tcPr>
          <w:p>
            <w:pPr>
              <w:spacing w:after="0"/>
              <w:rPr>
                <w:sz w:val="23"/>
                <w:szCs w:val="23"/>
                <w:color w:val="auto"/>
              </w:rPr>
            </w:pPr>
          </w:p>
        </w:tc>
        <w:tc>
          <w:tcPr>
            <w:tcW w:w="132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 Six months ended April 3, 2026 and March 28, 2025</w:t>
            </w:r>
          </w:p>
        </w:tc>
        <w:tc>
          <w:tcPr>
            <w:tcW w:w="560" w:type="dxa"/>
            <w:vAlign w:val="bottom"/>
            <w:gridSpan w:val="2"/>
            <w:shd w:val="clear" w:color="auto" w:fill="CCEEFF"/>
          </w:tcPr>
          <w:p>
            <w:pPr>
              <w:jc w:val="center"/>
              <w:ind w:left="230"/>
              <w:spacing w:after="0" w:line="189" w:lineRule="exact"/>
              <w:rPr>
                <w:sz w:val="20"/>
                <w:szCs w:val="20"/>
                <w:color w:val="auto"/>
              </w:rPr>
            </w:pPr>
            <w:r>
              <w:rPr>
                <w:rFonts w:ascii="Times New Roman" w:cs="Times New Roman" w:eastAsia="Times New Roman" w:hAnsi="Times New Roman"/>
                <w:sz w:val="18"/>
                <w:szCs w:val="18"/>
                <w:color w:val="0000FF"/>
              </w:rPr>
              <w:t>- 6</w:t>
            </w: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6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10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86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60" w:type="dxa"/>
            <w:vAlign w:val="bottom"/>
            <w:gridSpan w:val="2"/>
            <w:shd w:val="clear" w:color="auto" w:fill="CCEEFF"/>
          </w:tcPr>
          <w:p>
            <w:pPr>
              <w:jc w:val="center"/>
              <w:ind w:left="230"/>
              <w:spacing w:after="0" w:line="189" w:lineRule="exact"/>
              <w:rPr>
                <w:sz w:val="20"/>
                <w:szCs w:val="20"/>
                <w:color w:val="auto"/>
              </w:rPr>
            </w:pPr>
            <w:r>
              <w:rPr>
                <w:rFonts w:ascii="Times New Roman" w:cs="Times New Roman" w:eastAsia="Times New Roman" w:hAnsi="Times New Roman"/>
                <w:sz w:val="18"/>
                <w:szCs w:val="18"/>
                <w:color w:val="0000FF"/>
              </w:rPr>
              <w:t>- 7</w:t>
            </w: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0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gridSpan w:val="3"/>
            <w:shd w:val="clear" w:color="auto" w:fill="CCEEFF"/>
          </w:tcPr>
          <w:p>
            <w:pPr>
              <w:jc w:val="center"/>
              <w:ind w:right="80"/>
              <w:spacing w:after="0" w:line="189" w:lineRule="exact"/>
              <w:rPr>
                <w:sz w:val="20"/>
                <w:szCs w:val="20"/>
                <w:color w:val="auto"/>
              </w:rPr>
            </w:pPr>
            <w:r>
              <w:rPr>
                <w:rFonts w:ascii="Times New Roman" w:cs="Times New Roman" w:eastAsia="Times New Roman" w:hAnsi="Times New Roman"/>
                <w:sz w:val="18"/>
                <w:szCs w:val="18"/>
                <w:color w:val="0000FF"/>
                <w:w w:val="98"/>
              </w:rPr>
              <w:t>- 23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6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100" w:type="dxa"/>
            <w:vAlign w:val="bottom"/>
            <w:tcBorders>
              <w:top w:val="single" w:sz="8" w:color="0000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80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60" w:type="dxa"/>
            <w:vAlign w:val="bottom"/>
            <w:gridSpan w:val="3"/>
            <w:shd w:val="clear" w:color="auto" w:fill="CCEEFF"/>
          </w:tcPr>
          <w:p>
            <w:pPr>
              <w:jc w:val="center"/>
              <w:ind w:right="80"/>
              <w:spacing w:after="0" w:line="189" w:lineRule="exact"/>
              <w:rPr>
                <w:sz w:val="20"/>
                <w:szCs w:val="20"/>
                <w:color w:val="auto"/>
              </w:rPr>
            </w:pPr>
            <w:r>
              <w:rPr>
                <w:rFonts w:ascii="Times New Roman" w:cs="Times New Roman" w:eastAsia="Times New Roman" w:hAnsi="Times New Roman"/>
                <w:sz w:val="18"/>
                <w:szCs w:val="18"/>
                <w:color w:val="0000FF"/>
                <w:w w:val="98"/>
              </w:rPr>
              <w:t>- 29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6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6220" w:type="dxa"/>
            <w:vAlign w:val="bottom"/>
            <w:tcBorders>
              <w:bottom w:val="single" w:sz="8" w:color="CCEEFF"/>
            </w:tcBorders>
            <w:gridSpan w:val="12"/>
            <w:shd w:val="clear" w:color="auto" w:fill="CCEEFF"/>
          </w:tcPr>
          <w:p>
            <w:pPr>
              <w:spacing w:after="0"/>
              <w:rPr>
                <w:sz w:val="18"/>
                <w:szCs w:val="18"/>
                <w:color w:val="auto"/>
              </w:rPr>
            </w:pPr>
          </w:p>
        </w:tc>
        <w:tc>
          <w:tcPr>
            <w:tcW w:w="960" w:type="dxa"/>
            <w:vAlign w:val="bottom"/>
            <w:tcBorders>
              <w:bottom w:val="single" w:sz="8" w:color="CCEEFF"/>
            </w:tcBorders>
            <w:gridSpan w:val="3"/>
            <w:shd w:val="clear" w:color="auto" w:fill="CCEEFF"/>
          </w:tcPr>
          <w:p>
            <w:pPr>
              <w:jc w:val="center"/>
              <w:ind w:right="80"/>
              <w:spacing w:after="0" w:line="189" w:lineRule="exact"/>
              <w:rPr>
                <w:sz w:val="20"/>
                <w:szCs w:val="20"/>
                <w:color w:val="auto"/>
              </w:rPr>
            </w:pPr>
            <w:r>
              <w:rPr>
                <w:rFonts w:ascii="Times New Roman" w:cs="Times New Roman" w:eastAsia="Times New Roman" w:hAnsi="Times New Roman"/>
                <w:sz w:val="18"/>
                <w:szCs w:val="18"/>
                <w:color w:val="0000FF"/>
                <w:w w:val="98"/>
              </w:rPr>
              <w:t>- 29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9320" w:type="dxa"/>
            <w:vAlign w:val="bottom"/>
            <w:gridSpan w:val="23"/>
          </w:tcPr>
          <w:p>
            <w:pPr>
              <w:ind w:left="320"/>
              <w:spacing w:after="0"/>
              <w:rPr>
                <w:sz w:val="20"/>
                <w:szCs w:val="20"/>
                <w:color w:val="auto"/>
              </w:rPr>
            </w:pPr>
            <w:r>
              <w:rPr>
                <w:rFonts w:ascii="Times New Roman" w:cs="Times New Roman" w:eastAsia="Times New Roman" w:hAnsi="Times New Roman"/>
                <w:sz w:val="18"/>
                <w:szCs w:val="18"/>
                <w:color w:val="auto"/>
              </w:rPr>
              <w:t>OTHER INFORMATION</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80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gridSpan w:val="3"/>
            <w:shd w:val="clear" w:color="auto" w:fill="CCEEFF"/>
          </w:tcPr>
          <w:p>
            <w:pPr>
              <w:jc w:val="center"/>
              <w:ind w:right="80"/>
              <w:spacing w:after="0" w:line="189" w:lineRule="exact"/>
              <w:rPr>
                <w:sz w:val="20"/>
                <w:szCs w:val="20"/>
                <w:color w:val="auto"/>
              </w:rPr>
            </w:pPr>
            <w:r>
              <w:rPr>
                <w:rFonts w:ascii="Times New Roman" w:cs="Times New Roman" w:eastAsia="Times New Roman" w:hAnsi="Times New Roman"/>
                <w:sz w:val="18"/>
                <w:szCs w:val="18"/>
                <w:color w:val="0000FF"/>
                <w:w w:val="98"/>
              </w:rPr>
              <w:t>- 29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80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960" w:type="dxa"/>
            <w:vAlign w:val="bottom"/>
            <w:gridSpan w:val="3"/>
            <w:shd w:val="clear" w:color="auto" w:fill="CCEEFF"/>
          </w:tcPr>
          <w:p>
            <w:pPr>
              <w:jc w:val="center"/>
              <w:ind w:right="80"/>
              <w:spacing w:after="0" w:line="189" w:lineRule="exact"/>
              <w:rPr>
                <w:sz w:val="20"/>
                <w:szCs w:val="20"/>
                <w:color w:val="auto"/>
              </w:rPr>
            </w:pPr>
            <w:r>
              <w:rPr>
                <w:rFonts w:ascii="Times New Roman" w:cs="Times New Roman" w:eastAsia="Times New Roman" w:hAnsi="Times New Roman"/>
                <w:sz w:val="18"/>
                <w:szCs w:val="18"/>
                <w:color w:val="0000FF"/>
                <w:w w:val="98"/>
              </w:rPr>
              <w:t>- 29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0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60" w:type="dxa"/>
            <w:vAlign w:val="bottom"/>
            <w:gridSpan w:val="2"/>
            <w:shd w:val="clear" w:color="auto" w:fill="CCEEFF"/>
          </w:tcPr>
          <w:p>
            <w:pPr>
              <w:jc w:val="center"/>
              <w:ind w:left="230"/>
              <w:spacing w:after="0" w:line="189"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FF"/>
                <w:w w:val="99"/>
              </w:rPr>
              <w:t>29</w:t>
            </w: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132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66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10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80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60" w:type="dxa"/>
            <w:vAlign w:val="bottom"/>
            <w:gridSpan w:val="2"/>
            <w:shd w:val="clear" w:color="auto" w:fill="CCEEFF"/>
          </w:tcPr>
          <w:p>
            <w:pPr>
              <w:jc w:val="center"/>
              <w:ind w:left="230"/>
              <w:spacing w:after="0" w:line="189"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FF"/>
                <w:w w:val="99"/>
              </w:rPr>
              <w:t>29</w:t>
            </w: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132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66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10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80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w:t>
            </w:r>
          </w:p>
        </w:tc>
        <w:tc>
          <w:tcPr>
            <w:tcW w:w="560" w:type="dxa"/>
            <w:vAlign w:val="bottom"/>
            <w:gridSpan w:val="2"/>
            <w:shd w:val="clear" w:color="auto" w:fill="CCEEFF"/>
          </w:tcPr>
          <w:p>
            <w:pPr>
              <w:jc w:val="center"/>
              <w:ind w:left="230"/>
              <w:spacing w:after="0" w:line="189"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FF"/>
                <w:w w:val="99"/>
              </w:rPr>
              <w:t>30</w:t>
            </w: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940" w:type="dxa"/>
            <w:vAlign w:val="bottom"/>
            <w:tcBorders>
              <w:top w:val="single" w:sz="8" w:color="CCEEFF"/>
            </w:tcBorders>
          </w:tcPr>
          <w:p>
            <w:pPr>
              <w:spacing w:after="0"/>
              <w:rPr>
                <w:sz w:val="22"/>
                <w:szCs w:val="22"/>
                <w:color w:val="auto"/>
              </w:rPr>
            </w:pPr>
          </w:p>
        </w:tc>
        <w:tc>
          <w:tcPr>
            <w:tcW w:w="132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66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10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80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960" w:type="dxa"/>
            <w:vAlign w:val="bottom"/>
            <w:gridSpan w:val="3"/>
            <w:shd w:val="clear" w:color="auto" w:fill="CCEEFF"/>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940" w:type="dxa"/>
            <w:vAlign w:val="bottom"/>
            <w:tcBorders>
              <w:top w:val="single" w:sz="8" w:color="CCEEFF"/>
            </w:tcBorders>
          </w:tcPr>
          <w:p>
            <w:pPr>
              <w:spacing w:after="0"/>
              <w:rPr>
                <w:sz w:val="22"/>
                <w:szCs w:val="22"/>
                <w:color w:val="auto"/>
              </w:rPr>
            </w:pPr>
          </w:p>
        </w:tc>
        <w:tc>
          <w:tcPr>
            <w:tcW w:w="132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66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10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80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960" w:type="dxa"/>
            <w:vAlign w:val="bottom"/>
            <w:gridSpan w:val="3"/>
            <w:shd w:val="clear" w:color="auto" w:fill="CCEEFF"/>
          </w:tcPr>
          <w:p>
            <w:pPr>
              <w:jc w:val="center"/>
              <w:ind w:right="80"/>
              <w:spacing w:after="0" w:line="189" w:lineRule="exact"/>
              <w:rPr>
                <w:sz w:val="20"/>
                <w:szCs w:val="20"/>
                <w:color w:val="auto"/>
              </w:rPr>
            </w:pPr>
            <w:r>
              <w:rPr>
                <w:rFonts w:ascii="Times New Roman" w:cs="Times New Roman" w:eastAsia="Times New Roman" w:hAnsi="Times New Roman"/>
                <w:sz w:val="18"/>
                <w:szCs w:val="18"/>
                <w:color w:val="0000FF"/>
                <w:w w:val="98"/>
              </w:rPr>
              <w:t>- 30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960" w:type="dxa"/>
            <w:vAlign w:val="bottom"/>
            <w:gridSpan w:val="3"/>
            <w:shd w:val="clear" w:color="auto" w:fill="CCEEFF"/>
          </w:tcPr>
          <w:p>
            <w:pPr>
              <w:jc w:val="center"/>
              <w:ind w:right="80"/>
              <w:spacing w:after="0" w:line="189" w:lineRule="exact"/>
              <w:rPr>
                <w:sz w:val="20"/>
                <w:szCs w:val="20"/>
                <w:color w:val="auto"/>
              </w:rPr>
            </w:pPr>
            <w:r>
              <w:rPr>
                <w:rFonts w:ascii="Times New Roman" w:cs="Times New Roman" w:eastAsia="Times New Roman" w:hAnsi="Times New Roman"/>
                <w:sz w:val="18"/>
                <w:szCs w:val="18"/>
                <w:color w:val="0000FF"/>
                <w:w w:val="98"/>
              </w:rPr>
              <w:t>- 30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 Index</w:t>
            </w:r>
          </w:p>
        </w:tc>
        <w:tc>
          <w:tcPr>
            <w:tcW w:w="960" w:type="dxa"/>
            <w:vAlign w:val="bottom"/>
            <w:gridSpan w:val="3"/>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6"/>
        </w:trPr>
        <w:tc>
          <w:tcPr>
            <w:tcW w:w="940" w:type="dxa"/>
            <w:vAlign w:val="bottom"/>
            <w:tcBorders>
              <w:top w:val="single" w:sz="8" w:color="CCEEFF"/>
              <w:bottom w:val="single" w:sz="8" w:color="9A9A9A"/>
            </w:tcBorders>
          </w:tcPr>
          <w:p>
            <w:pPr>
              <w:spacing w:after="0"/>
              <w:rPr>
                <w:sz w:val="24"/>
                <w:szCs w:val="24"/>
                <w:color w:val="auto"/>
              </w:rPr>
            </w:pPr>
          </w:p>
        </w:tc>
        <w:tc>
          <w:tcPr>
            <w:tcW w:w="132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166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10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33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PART I</w:t>
      </w:r>
      <w:r>
        <w:rPr>
          <w:sz w:val="20"/>
          <w:szCs w:val="20"/>
          <w:color w:val="auto"/>
        </w:rPr>
        <w:tab/>
      </w:r>
      <w:r>
        <w:rPr>
          <w:rFonts w:ascii="Times New Roman" w:cs="Times New Roman" w:eastAsia="Times New Roman" w:hAnsi="Times New Roman"/>
          <w:sz w:val="17"/>
          <w:szCs w:val="17"/>
          <w:color w:val="auto"/>
        </w:rPr>
        <w:t>FINANCIAL INFORMATION</w:t>
      </w:r>
    </w:p>
    <w:p>
      <w:pPr>
        <w:spacing w:after="0" w:line="2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(thousands, except per share data)</w:t>
            </w:r>
          </w:p>
        </w:tc>
        <w:tc>
          <w:tcPr>
            <w:tcW w:w="68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41"/>
        </w:trPr>
        <w:tc>
          <w:tcPr>
            <w:tcW w:w="516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April 3, 2026</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March 28, 2025</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April 3, 2026</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March 28, 2025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275,998</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118,992</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109,483</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208,317</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184,949</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75,488</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58,866</w:t>
            </w: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127,098</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91,049</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selling</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34,644</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65,028</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management, finance and information systems</w:t>
            </w: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13,305</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11,235</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25,711</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16,429</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15,648</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65,139</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53,965</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119,661</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106,387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(15,338)</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(14,769)</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0" w:type="dxa"/>
            <w:vAlign w:val="bottom"/>
          </w:tcPr>
          <w:p>
            <w:pPr>
              <w:spacing w:after="0"/>
              <w:rPr>
                <w:sz w:val="1"/>
                <w:szCs w:val="1"/>
                <w:color w:val="auto"/>
              </w:rPr>
            </w:pPr>
          </w:p>
        </w:tc>
      </w:tr>
      <w:tr>
        <w:trPr>
          <w:trHeight w:val="255"/>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 Basic:</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Participating securities</w:t>
            </w: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 Dilutive</w:t>
            </w:r>
          </w:p>
        </w:tc>
        <w:tc>
          <w:tcPr>
            <w:tcW w:w="6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w:t>
            </w: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 Basic:</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 Diluted:</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7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(thousands)</w:t>
            </w:r>
          </w:p>
        </w:tc>
        <w:tc>
          <w:tcPr>
            <w:tcW w:w="86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41"/>
        </w:trPr>
        <w:tc>
          <w:tcPr>
            <w:tcW w:w="574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April 3, 2026  March 28, 2025</w:t>
            </w: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April 3, 2026  March 28, 2025</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40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3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0" w:type="dxa"/>
            <w:vAlign w:val="bottom"/>
          </w:tcPr>
          <w:p>
            <w:pPr>
              <w:spacing w:after="0"/>
              <w:rPr>
                <w:sz w:val="1"/>
                <w:szCs w:val="1"/>
                <w:color w:val="auto"/>
              </w:rPr>
            </w:pP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gain on available-for-sale securities, net of tax</w:t>
            </w:r>
          </w:p>
        </w:tc>
        <w:tc>
          <w:tcPr>
            <w:tcW w:w="8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5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pension plans, net of tax</w:t>
            </w:r>
          </w:p>
        </w:tc>
        <w:tc>
          <w:tcPr>
            <w:tcW w:w="8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6"/>
        </w:trPr>
        <w:tc>
          <w:tcPr>
            <w:tcW w:w="5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8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0" w:type="dxa"/>
            <w:vAlign w:val="bottom"/>
          </w:tcPr>
          <w:p>
            <w:pPr>
              <w:spacing w:after="0"/>
              <w:rPr>
                <w:sz w:val="1"/>
                <w:szCs w:val="1"/>
                <w:color w:val="auto"/>
              </w:rPr>
            </w:pPr>
          </w:p>
        </w:tc>
      </w:tr>
      <w:tr>
        <w:trPr>
          <w:trHeight w:val="255"/>
        </w:trPr>
        <w:tc>
          <w:tcPr>
            <w:tcW w:w="5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w:t>
            </w:r>
          </w:p>
        </w:tc>
        <w:tc>
          <w:tcPr>
            <w:tcW w:w="400" w:type="dxa"/>
            <w:vAlign w:val="bottom"/>
            <w:tcBorders>
              <w:bottom w:val="single" w:sz="8" w:color="auto"/>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34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7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(thousands, except share data)</w:t>
            </w:r>
          </w:p>
        </w:tc>
        <w:tc>
          <w:tcPr>
            <w:tcW w:w="1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April 3, 2026</w:t>
            </w: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October 3, 2025</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March 28, 2025</w:t>
            </w:r>
          </w:p>
        </w:tc>
      </w:tr>
      <w:tr>
        <w:trPr>
          <w:trHeight w:val="229"/>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107,876</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176,399</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89,636</w:t>
            </w:r>
          </w:p>
        </w:tc>
      </w:tr>
      <w:tr>
        <w:trPr>
          <w:trHeight w:val="229"/>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 term investments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r>
      <w:tr>
        <w:trPr>
          <w:trHeight w:val="230"/>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126,852</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50,454</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116,776</w:t>
            </w:r>
          </w:p>
        </w:tc>
      </w:tr>
      <w:tr>
        <w:trPr>
          <w:trHeight w:val="229"/>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186,900</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170,726</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180,057</w:t>
            </w:r>
          </w:p>
        </w:tc>
      </w:tr>
      <w:tr>
        <w:trPr>
          <w:trHeight w:val="237"/>
        </w:trPr>
        <w:tc>
          <w:tcPr>
            <w:tcW w:w="7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3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16,295</w:t>
            </w:r>
          </w:p>
        </w:tc>
      </w:tr>
      <w:tr>
        <w:trPr>
          <w:trHeight w:val="229"/>
        </w:trPr>
        <w:tc>
          <w:tcPr>
            <w:tcW w:w="7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427,728</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408,788</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407,079</w:t>
            </w:r>
          </w:p>
        </w:tc>
      </w:tr>
      <w:tr>
        <w:trPr>
          <w:trHeight w:val="176"/>
        </w:trPr>
        <w:tc>
          <w:tcPr>
            <w:tcW w:w="7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$217,366, $210,262 and</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$198,416, respectively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94,823</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93,744</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94,956</w:t>
            </w: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43,846</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46,570</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46,978</w:t>
            </w:r>
          </w:p>
        </w:tc>
      </w:tr>
      <w:tr>
        <w:trPr>
          <w:trHeight w:val="229"/>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27,252</w:t>
            </w:r>
          </w:p>
        </w:tc>
      </w:tr>
      <w:tr>
        <w:trPr>
          <w:trHeight w:val="22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10,638</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9,890</w:t>
            </w:r>
          </w:p>
        </w:tc>
      </w:tr>
      <w:tr>
        <w:trPr>
          <w:trHeight w:val="23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w:t>
            </w:r>
          </w:p>
        </w:tc>
      </w:tr>
      <w:tr>
        <w:trPr>
          <w:trHeight w:val="22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28,992</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30,681</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27,396</w:t>
            </w:r>
          </w:p>
        </w:tc>
      </w:tr>
      <w:tr>
        <w:trPr>
          <w:trHeight w:val="237"/>
        </w:trPr>
        <w:tc>
          <w:tcPr>
            <w:tcW w:w="7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3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29"/>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618,273</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604,103</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624,474</w:t>
            </w:r>
          </w:p>
        </w:tc>
      </w:tr>
      <w:tr>
        <w:trPr>
          <w:trHeight w:val="20"/>
        </w:trPr>
        <w:tc>
          <w:tcPr>
            <w:tcW w:w="7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52,332</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44,323</w:t>
            </w:r>
          </w:p>
        </w:tc>
      </w:tr>
      <w:tr>
        <w:trPr>
          <w:trHeight w:val="230"/>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lease liability</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w:t>
            </w:r>
          </w:p>
        </w:tc>
      </w:tr>
      <w:tr>
        <w:trPr>
          <w:trHeight w:val="230"/>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20,880</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20,649</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14,282</w:t>
            </w:r>
          </w:p>
        </w:tc>
      </w:tr>
      <w:tr>
        <w:trPr>
          <w:trHeight w:val="230"/>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warranty</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15,142</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w:t>
            </w:r>
          </w:p>
        </w:tc>
      </w:tr>
      <w:tr>
        <w:trPr>
          <w:trHeight w:val="229"/>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30"/>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discounts and returns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w:t>
            </w:r>
          </w:p>
        </w:tc>
      </w:tr>
      <w:tr>
        <w:trPr>
          <w:trHeight w:val="230"/>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customer programs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r>
      <w:tr>
        <w:trPr>
          <w:trHeight w:val="236"/>
        </w:trPr>
        <w:tc>
          <w:tcPr>
            <w:tcW w:w="72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12,192</w:t>
            </w: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3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w:t>
            </w:r>
          </w:p>
        </w:tc>
      </w:tr>
      <w:tr>
        <w:trPr>
          <w:trHeight w:val="230"/>
        </w:trPr>
        <w:tc>
          <w:tcPr>
            <w:tcW w:w="7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122,781</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104,640</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104,833</w:t>
            </w:r>
          </w:p>
        </w:tc>
      </w:tr>
      <w:tr>
        <w:trPr>
          <w:trHeight w:val="23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37,507</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40,424</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40,695</w:t>
            </w: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29"/>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benefits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28,993</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30,681</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27,425</w:t>
            </w:r>
          </w:p>
        </w:tc>
      </w:tr>
      <w:tr>
        <w:trPr>
          <w:trHeight w:val="237"/>
        </w:trPr>
        <w:tc>
          <w:tcPr>
            <w:tcW w:w="7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3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w:t>
            </w:r>
          </w:p>
        </w:tc>
      </w:tr>
      <w:tr>
        <w:trPr>
          <w:trHeight w:val="236"/>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199,388</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185,684</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183,372</w:t>
            </w:r>
          </w:p>
        </w:tc>
      </w:tr>
      <w:tr>
        <w:trPr>
          <w:trHeight w:val="23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A shares issued and outstanding: 9,268,482, 9,166,621 and 9,158,300, respectively</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9"/>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B shares issued and outstanding: 1,206,210, 1,206,210 and 1,207,760, respectively</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93,616</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91,867</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91,599</w:t>
            </w:r>
          </w:p>
        </w:tc>
      </w:tr>
      <w:tr>
        <w:trPr>
          <w:trHeight w:val="230"/>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321,039</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321,768</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349,872</w:t>
            </w:r>
          </w:p>
        </w:tc>
      </w:tr>
      <w:tr>
        <w:trPr>
          <w:trHeight w:val="230"/>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r>
      <w:tr>
        <w:trPr>
          <w:trHeight w:val="236"/>
        </w:trPr>
        <w:tc>
          <w:tcPr>
            <w:tcW w:w="7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Treasury stock at cost, shares of Class A common stock: 50,327, 48,259 and 49,001, respectively</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r>
      <w:tr>
        <w:trPr>
          <w:trHeight w:val="236"/>
        </w:trPr>
        <w:tc>
          <w:tcPr>
            <w:tcW w:w="7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418,885</w:t>
            </w: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418,419</w:t>
            </w:r>
          </w:p>
        </w:tc>
        <w:tc>
          <w:tcPr>
            <w:tcW w:w="3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441,102</w:t>
            </w:r>
          </w:p>
        </w:tc>
      </w:tr>
      <w:tr>
        <w:trPr>
          <w:trHeight w:val="230"/>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618,273</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604,103</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624,474</w:t>
            </w:r>
          </w:p>
        </w:tc>
      </w:tr>
      <w:tr>
        <w:trPr>
          <w:trHeight w:val="20"/>
        </w:trPr>
        <w:tc>
          <w:tcPr>
            <w:tcW w:w="7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60" w:top="259" w:right="399"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 Months Ended April 3, 2026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Capital in</w:t>
            </w: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121"/>
              <w:spacing w:after="0" w:line="142" w:lineRule="exact"/>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Retained</w:t>
            </w:r>
          </w:p>
        </w:tc>
        <w:tc>
          <w:tcPr>
            <w:tcW w:w="220" w:type="dxa"/>
            <w:vAlign w:val="bottom"/>
          </w:tcPr>
          <w:p>
            <w:pPr>
              <w:spacing w:after="0"/>
              <w:rPr>
                <w:sz w:val="12"/>
                <w:szCs w:val="12"/>
                <w:color w:val="auto"/>
              </w:rPr>
            </w:pPr>
          </w:p>
        </w:tc>
        <w:tc>
          <w:tcPr>
            <w:tcW w:w="118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2"/>
                <w:szCs w:val="12"/>
                <w:color w:val="auto"/>
              </w:rPr>
            </w:pPr>
          </w:p>
        </w:tc>
        <w:tc>
          <w:tcPr>
            <w:tcW w:w="100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Treasury</w:t>
            </w:r>
          </w:p>
        </w:tc>
        <w:tc>
          <w:tcPr>
            <w:tcW w:w="0" w:type="dxa"/>
            <w:vAlign w:val="bottom"/>
          </w:tcPr>
          <w:p>
            <w:pPr>
              <w:spacing w:after="0"/>
              <w:rPr>
                <w:sz w:val="1"/>
                <w:szCs w:val="1"/>
                <w:color w:val="auto"/>
              </w:rPr>
            </w:pPr>
          </w:p>
        </w:tc>
      </w:tr>
      <w:tr>
        <w:trPr>
          <w:trHeight w:val="149"/>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except for shares)</w:t>
            </w:r>
          </w:p>
        </w:tc>
        <w:tc>
          <w:tcPr>
            <w:tcW w:w="142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100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98"/>
              </w:rPr>
              <w:t>Common Stock</w:t>
            </w:r>
          </w:p>
        </w:tc>
        <w:tc>
          <w:tcPr>
            <w:tcW w:w="240" w:type="dxa"/>
            <w:vAlign w:val="bottom"/>
          </w:tcPr>
          <w:p>
            <w:pPr>
              <w:spacing w:after="0"/>
              <w:rPr>
                <w:sz w:val="12"/>
                <w:szCs w:val="12"/>
                <w:color w:val="auto"/>
              </w:rPr>
            </w:pPr>
          </w:p>
        </w:tc>
        <w:tc>
          <w:tcPr>
            <w:tcW w:w="11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Excess of Par</w:t>
            </w: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6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color w:val="auto"/>
                <w:w w:val="95"/>
              </w:rPr>
              <w:t>Value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color w:val="auto"/>
              </w:rPr>
              <w:t>Earnings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color w:val="auto"/>
              </w:rPr>
              <w:t>Income (Loss)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color w:val="auto"/>
              </w:rPr>
              <w:t>Stock</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3, 2025</w:t>
            </w:r>
          </w:p>
        </w:tc>
        <w:tc>
          <w:tcPr>
            <w:tcW w:w="14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10,372,831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91,867</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321,768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7,289</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w:t>
            </w:r>
          </w:p>
        </w:tc>
        <w:tc>
          <w:tcPr>
            <w:tcW w:w="0" w:type="dxa"/>
            <w:vAlign w:val="bottom"/>
          </w:tcPr>
          <w:p>
            <w:pPr>
              <w:spacing w:after="0"/>
              <w:rPr>
                <w:sz w:val="1"/>
                <w:szCs w:val="1"/>
                <w:color w:val="auto"/>
              </w:rPr>
            </w:pPr>
          </w:p>
        </w:tc>
      </w:tr>
      <w:tr>
        <w:trPr>
          <w:trHeight w:val="213"/>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220" w:type="dxa"/>
            <w:vAlign w:val="bottom"/>
          </w:tcPr>
          <w:p>
            <w:pPr>
              <w:spacing w:after="0"/>
              <w:rPr>
                <w:sz w:val="18"/>
                <w:szCs w:val="18"/>
                <w:color w:val="auto"/>
              </w:rPr>
            </w:pP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14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Award of non-vested shares</w:t>
            </w: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82,172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806</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1,095</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pension plans, net of tax of $3</w:t>
            </w:r>
          </w:p>
        </w:tc>
        <w:tc>
          <w:tcPr>
            <w:tcW w:w="14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Purchase of treasury stock at cost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38"/>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2, 2026</w:t>
            </w:r>
          </w:p>
        </w:tc>
        <w:tc>
          <w:tcPr>
            <w:tcW w:w="14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10,453,054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92,669</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315,069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8,392</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9,409</w:t>
            </w:r>
          </w:p>
        </w:tc>
        <w:tc>
          <w:tcPr>
            <w:tcW w:w="220" w:type="dxa"/>
            <w:vAlign w:val="bottom"/>
          </w:tcPr>
          <w:p>
            <w:pPr>
              <w:spacing w:after="0"/>
              <w:rPr>
                <w:sz w:val="16"/>
                <w:szCs w:val="16"/>
                <w:color w:val="auto"/>
              </w:rPr>
            </w:pP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14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Award of non-vested shares</w:t>
            </w: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21,757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948</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(1,584)</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pension plans, net of tax of $2</w:t>
            </w:r>
          </w:p>
        </w:tc>
        <w:tc>
          <w:tcPr>
            <w:tcW w:w="14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Purchase of treasury stock at cost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4"/>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APRIL 3, 2026</w:t>
            </w:r>
          </w:p>
        </w:tc>
        <w:tc>
          <w:tcPr>
            <w:tcW w:w="14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10,474,692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93,616</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321,039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6,815</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 Months Ended March 28,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7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Capital in</w:t>
            </w: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121"/>
              <w:spacing w:after="0" w:line="142" w:lineRule="exact"/>
              <w:rPr>
                <w:sz w:val="20"/>
                <w:szCs w:val="20"/>
                <w:color w:val="auto"/>
              </w:rPr>
            </w:pPr>
            <w:r>
              <w:rPr>
                <w:rFonts w:ascii="Times New Roman" w:cs="Times New Roman" w:eastAsia="Times New Roman" w:hAnsi="Times New Roman"/>
                <w:sz w:val="14"/>
                <w:szCs w:val="14"/>
                <w:color w:val="auto"/>
              </w:rPr>
              <w:t>Accumulated</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Retained</w:t>
            </w:r>
          </w:p>
        </w:tc>
        <w:tc>
          <w:tcPr>
            <w:tcW w:w="220" w:type="dxa"/>
            <w:vAlign w:val="bottom"/>
          </w:tcPr>
          <w:p>
            <w:pPr>
              <w:spacing w:after="0"/>
              <w:rPr>
                <w:sz w:val="12"/>
                <w:szCs w:val="12"/>
                <w:color w:val="auto"/>
              </w:rPr>
            </w:pPr>
          </w:p>
        </w:tc>
        <w:tc>
          <w:tcPr>
            <w:tcW w:w="12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2"/>
                <w:szCs w:val="12"/>
                <w:color w:val="auto"/>
              </w:rPr>
            </w:pPr>
          </w:p>
        </w:tc>
        <w:tc>
          <w:tcPr>
            <w:tcW w:w="90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Treasury</w:t>
            </w:r>
          </w:p>
        </w:tc>
        <w:tc>
          <w:tcPr>
            <w:tcW w:w="0" w:type="dxa"/>
            <w:vAlign w:val="bottom"/>
          </w:tcPr>
          <w:p>
            <w:pPr>
              <w:spacing w:after="0"/>
              <w:rPr>
                <w:sz w:val="1"/>
                <w:szCs w:val="1"/>
                <w:color w:val="auto"/>
              </w:rPr>
            </w:pPr>
          </w:p>
        </w:tc>
      </w:tr>
      <w:tr>
        <w:trPr>
          <w:trHeight w:val="148"/>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except for shares)</w:t>
            </w:r>
          </w:p>
        </w:tc>
        <w:tc>
          <w:tcPr>
            <w:tcW w:w="108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106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Common Stock</w:t>
            </w:r>
          </w:p>
        </w:tc>
        <w:tc>
          <w:tcPr>
            <w:tcW w:w="220" w:type="dxa"/>
            <w:vAlign w:val="bottom"/>
          </w:tcPr>
          <w:p>
            <w:pPr>
              <w:spacing w:after="0"/>
              <w:rPr>
                <w:sz w:val="12"/>
                <w:szCs w:val="12"/>
                <w:color w:val="auto"/>
              </w:rPr>
            </w:pPr>
          </w:p>
        </w:tc>
        <w:tc>
          <w:tcPr>
            <w:tcW w:w="108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Excess of Par</w:t>
            </w: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color w:val="auto"/>
                <w:w w:val="95"/>
              </w:rPr>
              <w:t>Value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color w:val="auto"/>
              </w:rPr>
              <w:t>Earnings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color w:val="auto"/>
              </w:rPr>
              <w:t>Income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color w:val="auto"/>
              </w:rPr>
              <w:t>Stock</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27, 2024</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10,301,738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90,146</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369,592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5,964</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(15,290)</w:t>
            </w:r>
          </w:p>
        </w:tc>
        <w:tc>
          <w:tcPr>
            <w:tcW w:w="2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Award of non-vested shares</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32,121</w:t>
            </w:r>
          </w:p>
        </w:tc>
        <w:tc>
          <w:tcPr>
            <w:tcW w:w="16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507</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(4,915)</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Unrealized loss on available-for-sale securities, net of</w:t>
            </w:r>
          </w:p>
        </w:tc>
        <w:tc>
          <w:tcPr>
            <w:tcW w:w="10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w:t>
            </w:r>
          </w:p>
        </w:tc>
        <w:tc>
          <w:tcPr>
            <w:tcW w:w="10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pension plans, net of tax of $3</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stock forfeitures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Purchase of treasury stock at cost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(2,657)</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38"/>
        </w:trPr>
        <w:tc>
          <w:tcPr>
            <w:tcW w:w="3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27, 2024</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10,327,512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90,852</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350,940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1,057</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2,304</w:t>
            </w:r>
          </w:p>
        </w:tc>
        <w:tc>
          <w:tcPr>
            <w:tcW w:w="220" w:type="dxa"/>
            <w:vAlign w:val="bottom"/>
          </w:tcPr>
          <w:p>
            <w:pPr>
              <w:spacing w:after="0"/>
              <w:rPr>
                <w:sz w:val="16"/>
                <w:szCs w:val="16"/>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Award of non-vested shares</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38,548</w:t>
            </w:r>
          </w:p>
        </w:tc>
        <w:tc>
          <w:tcPr>
            <w:tcW w:w="16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750</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1,133</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Unrealized loss on available-for-sales securities, net</w:t>
            </w:r>
          </w:p>
        </w:tc>
        <w:tc>
          <w:tcPr>
            <w:tcW w:w="10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tax</w:t>
            </w:r>
          </w:p>
        </w:tc>
        <w:tc>
          <w:tcPr>
            <w:tcW w:w="10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Change in pension plans, net of tax of $3</w:t>
            </w: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3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28, 2025</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10,366,060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91,599</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349,872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2,193</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ind w:left="4440"/>
              <w:spacing w:after="0"/>
              <w:rPr>
                <w:sz w:val="20"/>
                <w:szCs w:val="20"/>
                <w:color w:val="auto"/>
              </w:rPr>
            </w:pPr>
            <w:r>
              <w:rPr>
                <w:rFonts w:ascii="Times New Roman" w:cs="Times New Roman" w:eastAsia="Times New Roman" w:hAnsi="Times New Roman"/>
                <w:sz w:val="18"/>
                <w:szCs w:val="18"/>
                <w:b w:val="1"/>
                <w:bCs w:val="1"/>
                <w:color w:val="auto"/>
              </w:rPr>
              <w:t>JOHNSON OUTDOORS INC.</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765"/>
        </w:trPr>
        <w:tc>
          <w:tcPr>
            <w:tcW w:w="8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4"/>
        </w:trPr>
        <w:tc>
          <w:tcPr>
            <w:tcW w:w="822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15"/>
        </w:trPr>
        <w:tc>
          <w:tcPr>
            <w:tcW w:w="8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gridSpan w:val="3"/>
          </w:tcPr>
          <w:p>
            <w:pPr>
              <w:spacing w:after="0"/>
              <w:rPr>
                <w:sz w:val="10"/>
                <w:szCs w:val="10"/>
                <w:color w:val="auto"/>
              </w:rPr>
            </w:pPr>
          </w:p>
        </w:tc>
      </w:tr>
      <w:tr>
        <w:trPr>
          <w:trHeight w:val="237"/>
        </w:trPr>
        <w:tc>
          <w:tcPr>
            <w:tcW w:w="8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6"/>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(thousands)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April 3, 2026</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March 28, 2025</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OPERATING ACTIVITIES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for operating activities: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9,765</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disposal of productive assets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(76,242)</w:t>
            </w: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30,768</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17,509</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12,417</w:t>
            </w: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37"/>
        </w:trPr>
        <w:tc>
          <w:tcPr>
            <w:tcW w:w="8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37"/>
        </w:trPr>
        <w:tc>
          <w:tcPr>
            <w:tcW w:w="8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(50,700)</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(38,566)</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purchase of businesses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(12,197)</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maturity of short-term investments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productive assets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(10,496)</w:t>
            </w: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w:t>
            </w:r>
          </w:p>
        </w:tc>
      </w:tr>
      <w:tr>
        <w:trPr>
          <w:trHeight w:val="237"/>
        </w:trPr>
        <w:tc>
          <w:tcPr>
            <w:tcW w:w="8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(7,749)</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FINANCING ACTIVITIES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 paid</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r>
      <w:tr>
        <w:trPr>
          <w:trHeight w:val="237"/>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6"/>
        </w:trPr>
        <w:tc>
          <w:tcPr>
            <w:tcW w:w="82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w:t>
            </w:r>
          </w:p>
        </w:tc>
      </w:tr>
      <w:tr>
        <w:trPr>
          <w:trHeight w:val="237"/>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rate changes on cash</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(55,862)</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7"/>
        </w:trPr>
        <w:tc>
          <w:tcPr>
            <w:tcW w:w="8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176,399</w:t>
            </w: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145,498</w:t>
            </w:r>
          </w:p>
        </w:tc>
      </w:tr>
      <w:tr>
        <w:trPr>
          <w:trHeight w:val="230"/>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107,876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89,636</w:t>
            </w:r>
          </w:p>
        </w:tc>
      </w:tr>
      <w:tr>
        <w:trPr>
          <w:trHeight w:val="20"/>
        </w:trPr>
        <w:tc>
          <w:tcPr>
            <w:tcW w:w="8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8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dividends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Non-cash treasury stock activity</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0"/>
        </w:trPr>
        <w:tc>
          <w:tcPr>
            <w:tcW w:w="8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56"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In the opinion of management, these statements contain all adjustments (consisting of only normal recurring items) necessary to present fairly the financial position of Johnson Outdoors Inc. and subsidiaries (collectively, the “Company”) as of April 3, 2026 and March 28, 2025, and their results of operations for the three and six month periods then ended and cash flows for the six month periods then ended. These condensed consolidated financial statements should be read in conjunction with the consolidated financial statements and notes thereto included in the Company’s Annual Report on Form 10-K for the fiscal year ended October 3, 2025 which was filed with the Securities and Exchange Commission on December 12, 2025.</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monetary amounts, other than share and per share amounts, are stated in thousands.</w:t>
      </w:r>
    </w:p>
    <w:p>
      <w:pPr>
        <w:spacing w:after="0" w:line="24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ACCOUNTS RECEIVABLE</w:t>
      </w:r>
    </w:p>
    <w:p>
      <w:pPr>
        <w:spacing w:after="0" w:line="256" w:lineRule="exact"/>
        <w:rPr>
          <w:sz w:val="20"/>
          <w:szCs w:val="20"/>
          <w:color w:val="auto"/>
        </w:rPr>
      </w:pPr>
    </w:p>
    <w:p>
      <w:pPr>
        <w:ind w:left="660"/>
        <w:spacing w:after="0" w:line="244" w:lineRule="auto"/>
        <w:rPr>
          <w:sz w:val="20"/>
          <w:szCs w:val="20"/>
          <w:color w:val="auto"/>
        </w:rPr>
      </w:pPr>
      <w:r>
        <w:rPr>
          <w:rFonts w:ascii="Times New Roman" w:cs="Times New Roman" w:eastAsia="Times New Roman" w:hAnsi="Times New Roman"/>
          <w:sz w:val="18"/>
          <w:szCs w:val="18"/>
          <w:color w:val="auto"/>
        </w:rPr>
        <w:t>Accounts receivable are stated net of allowances for credit losses of $1,234, $1,232 and $692 as of April 3, 2026, October 3, 2025 and March 28, 2025, respectively. The determination of the allowance for credit losses is based on a combination of factors. In circumstances where specific collection concerns about a receivable exist, a reserve is established to value the affected account receivable at an amount the Company believes will be collected. For all other customers, the Company recognizes allowances for credit losses based on historical experience of bad debts as a percent of accounts receivable outstanding for each business segment. Uncollectible accounts are written off against the allowance for credit losses after collection efforts have been exhausted. The Company typically does not require collateral on its accounts receivable.</w:t>
      </w:r>
    </w:p>
    <w:p>
      <w:pPr>
        <w:spacing w:after="0" w:line="21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3</w:t>
        <w:tab/>
        <w:t>EARNINGS PER SHARE (“EPS”)</w:t>
      </w:r>
    </w:p>
    <w:p>
      <w:pPr>
        <w:spacing w:after="0" w:line="256"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Net income or loss per share of Class A common stock and Class B common stock is computed using the two-class method. Grants of restricted stock which receive non-forfeitable dividends are classified as participating securities and are required to be included as part of the basic weighted average share calculation under the two-class method.</w:t>
      </w:r>
    </w:p>
    <w:p>
      <w:pPr>
        <w:spacing w:after="0" w:line="203"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Holders of Class A common stock are entitled to cash dividends equal to 110% of all dividends declared and paid on each share of Class B common stock. The Company grants shares of unvested restricted stock in the form of Class A shares, which carry the same distribution rights as the Class A common stock described above. As such, the undistributed earnings for each period are allocated to each class of common stock based on the proportionate share of the amount of cash dividends that each such class is entitled to receive.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Basic EPS</w:t>
      </w:r>
    </w:p>
    <w:p>
      <w:pPr>
        <w:spacing w:after="0" w:line="252" w:lineRule="exact"/>
        <w:rPr>
          <w:sz w:val="20"/>
          <w:szCs w:val="20"/>
          <w:color w:val="auto"/>
        </w:rPr>
      </w:pPr>
    </w:p>
    <w:p>
      <w:pPr>
        <w:ind w:left="660" w:right="60"/>
        <w:spacing w:after="0" w:line="256" w:lineRule="auto"/>
        <w:rPr>
          <w:sz w:val="20"/>
          <w:szCs w:val="20"/>
          <w:color w:val="auto"/>
        </w:rPr>
      </w:pPr>
      <w:r>
        <w:rPr>
          <w:rFonts w:ascii="Times New Roman" w:cs="Times New Roman" w:eastAsia="Times New Roman" w:hAnsi="Times New Roman"/>
          <w:sz w:val="18"/>
          <w:szCs w:val="18"/>
          <w:color w:val="auto"/>
        </w:rPr>
        <w:t>Basic net income or loss per share is computed by dividing net income or loss allocated to Class A common stock and Class B common stock by the weighted-average number of shares of Class A common stock and Class B common stock outstanding, respectively. In periods with cumulative year to date net income and undistributed income, the undistributed income for each period is allocated to each class of common stock based on the proportionate share of the amount of cash dividends that each such class is entitled to receive. In periods where there is a cumulative year to date net loss or no undistributed income because distributions through dividends exceed net income, Class B shares are treated as anti-dilutive and, therefore, net losses are allocated equally on a per share basis among all participating securities.</w:t>
      </w:r>
    </w:p>
    <w:p>
      <w:pPr>
        <w:spacing w:after="0" w:line="214"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For the three month period ended April 3, 2026, basic income per share for the class A and Class B shares has been presented using the two class method and reflects the allocation of undistributed income described above. For the six month period ended April 3, 2026 and the three and six month periods ended March 28, 2025, basic net income (loss) per share for Class A and Class B shares was the same because there were no cumulative undistributed earnings.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Diluted EPS</w:t>
      </w:r>
    </w:p>
    <w:p>
      <w:pPr>
        <w:spacing w:after="0" w:line="252"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Diluted net income per share is computed by dividing allocated net income by the weighted-average number of common shares outstanding, adjusted for the effect of dilutive stock options, restricted stock units (“stock units” or “units”) and non-vested restricted stock. Anti-dilutive stock options, units and non-vested stock are excluded from the</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337"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calculation of diluted EPS. The computation of diluted net income per share of Class A common stock assumes that Class B common stock is converted into Class A common stock. Therefore, diluted net income per share is the same for both Class A and Class B common shares. In periods where the Company reports a net loss or no undistributed income because distributions through dividends exceed net income, the effect of anti-dilutive stock options and units is excluded and diluted loss per share is equal to basic loss per share for both classes of stock.</w:t>
      </w:r>
    </w:p>
    <w:p>
      <w:pPr>
        <w:spacing w:after="0" w:line="207"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For the three month period ended April 3, 2026, diluted net income per share reflects the effect of dilutive stock units and assumes the conversion of Class B common stock into Class A common stock. For the six month period ended April 3, 2026 and the three and six month periods ended March 28, 2025, the effect of non-vested restricted stock units is excluded from the diluted income (loss) per share calculation as their inclusion would have been anti-dilutive.</w:t>
      </w:r>
    </w:p>
    <w:p>
      <w:pPr>
        <w:spacing w:after="0" w:line="207" w:lineRule="exact"/>
        <w:rPr>
          <w:sz w:val="20"/>
          <w:szCs w:val="20"/>
          <w:color w:val="auto"/>
        </w:rPr>
      </w:pPr>
    </w:p>
    <w:p>
      <w:pPr>
        <w:ind w:left="660" w:right="140"/>
        <w:spacing w:after="0" w:line="256" w:lineRule="auto"/>
        <w:rPr>
          <w:sz w:val="20"/>
          <w:szCs w:val="20"/>
          <w:color w:val="auto"/>
        </w:rPr>
      </w:pPr>
      <w:r>
        <w:rPr>
          <w:rFonts w:ascii="Times New Roman" w:cs="Times New Roman" w:eastAsia="Times New Roman" w:hAnsi="Times New Roman"/>
          <w:sz w:val="18"/>
          <w:szCs w:val="18"/>
          <w:color w:val="auto"/>
        </w:rPr>
        <w:t>Shares of non-vested stock that could potentially dilute earnings per share in the future which were not included in the fully diluted computation because they would have been anti-dilutive totaled 164,187 and 69,486 for the three months ended April 3, 2026 and March 28, 2025, respectively, and 152,639 and 64,525 for the six months ended April 3, 2026 and March 28, 2025, respectively. Stock units that could potentially dilute earnings per share in the future and which were not included in the fully diluted computation because they would have been anti-dilutive were 58,192 and 105,840 for the three months ended April 3, 2026 and March 28, 2025, respectively, and 61,749 and 101,625 for the six months ended April 3, 2026 and March 28, 2025, respectively.</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Dividends per share</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Dividends per share for the three and six month periods ended April 3, 2026 and March 28, 2025 were as follows:</w:t>
      </w:r>
    </w:p>
    <w:p>
      <w:pPr>
        <w:spacing w:after="0" w:line="358" w:lineRule="exact"/>
        <w:rPr>
          <w:sz w:val="20"/>
          <w:szCs w:val="20"/>
          <w:color w:val="auto"/>
        </w:rPr>
      </w:pPr>
    </w:p>
    <w:tbl>
      <w:tblPr>
        <w:tblLayout w:type="fixed"/>
        <w:tblInd w:w="700" w:type="dxa"/>
        <w:tblCellMar>
          <w:top w:w="0" w:type="dxa"/>
          <w:left w:w="0" w:type="dxa"/>
          <w:bottom w:w="0" w:type="dxa"/>
          <w:right w:w="0" w:type="dxa"/>
        </w:tblCellMar>
      </w:tblPr>
      <w:tr>
        <w:trPr>
          <w:trHeight w:val="263"/>
        </w:trPr>
        <w:tc>
          <w:tcPr>
            <w:tcW w:w="386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Borders>
              <w:top w:val="single" w:sz="8" w:color="auto"/>
              <w:bottom w:val="single" w:sz="8" w:color="auto"/>
            </w:tcBorders>
          </w:tcPr>
          <w:p>
            <w:pPr>
              <w:spacing w:after="0"/>
              <w:rPr>
                <w:sz w:val="22"/>
                <w:szCs w:val="22"/>
                <w:color w:val="auto"/>
              </w:rPr>
            </w:pPr>
          </w:p>
        </w:tc>
        <w:tc>
          <w:tcPr>
            <w:tcW w:w="2820" w:type="dxa"/>
            <w:vAlign w:val="bottom"/>
            <w:tcBorders>
              <w:top w:val="single" w:sz="8" w:color="auto"/>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7"/>
        </w:trPr>
        <w:tc>
          <w:tcPr>
            <w:tcW w:w="3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April 3, 2026</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March 28, 2025</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April 3, 2026</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March 28, 2025</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55"/>
        </w:trPr>
        <w:tc>
          <w:tcPr>
            <w:tcW w:w="3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0"/>
        </w:trPr>
        <w:tc>
          <w:tcPr>
            <w:tcW w:w="3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STOCK-BASED COMPENSATION AND STOCK OWNERSHIP PLANS</w:t>
      </w:r>
    </w:p>
    <w:p>
      <w:pPr>
        <w:spacing w:after="0" w:line="256"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Company’s current stock ownership plans allow for issuance of stock options to acquire shares of Class A common stock by key executives and non-employee directors. Current plans also allow for issuance of shares of restricted stock, restricted stock units or stock appreciation rights in lieu of stock options.</w:t>
      </w:r>
    </w:p>
    <w:p>
      <w:pPr>
        <w:spacing w:after="0" w:line="203"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Under the Company’s 2023 Non-Employee Director Stock Ownership Plan and the 2020 Long-Term Incentive Plan (the only plans where shares currently remain available for future equity incentive awards) there were a total of 652,329 shares of the Company’s Class A common stock available for future grant to non-employee directors and key executives at April 3, 2026. Share awards previously made under the Company's 2012 Non-Employee Director Stock Ownership Plan, which no longer allow for additional share grants, also remain outstanding.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Non-vested Stock</w:t>
      </w:r>
    </w:p>
    <w:p>
      <w:pPr>
        <w:spacing w:after="0" w:line="256"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color w:val="auto"/>
        </w:rPr>
        <w:t>All shares of non-vested restricted stock awarded by the Company have been granted in the form of shares of Class A common stock at their fair market value on the date of grant and vest within one year from the date of grant for stock granted to directors and within a period ranging from one to four years from the date of grant for stock granted to officers and employees, based on the terms of the agreement with such officer or employee. The fair value at date of grant is based on the number of shares granted and the average of the Company’s high and low Class A common stock price on the date of grant or, if the Company’s Class A shares did not trade on the date of grant, the average of the Company’s high and low Class A common stock price on the last preceding date on which the Company’s Class A shares traded.</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9"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3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 summary of non-vested stock activity for the six months ended April 3, 2026 related to the Company’s stock ownership plans is as follows:</w:t>
      </w:r>
    </w:p>
    <w:p>
      <w:pPr>
        <w:spacing w:after="0" w:line="115" w:lineRule="exact"/>
        <w:rPr>
          <w:sz w:val="20"/>
          <w:szCs w:val="20"/>
          <w:color w:val="auto"/>
        </w:rPr>
      </w:pPr>
    </w:p>
    <w:tbl>
      <w:tblPr>
        <w:tblLayout w:type="fixed"/>
        <w:tblInd w:w="620" w:type="dxa"/>
        <w:tblCellMar>
          <w:top w:w="0" w:type="dxa"/>
          <w:left w:w="0" w:type="dxa"/>
          <w:bottom w:w="0" w:type="dxa"/>
          <w:right w:w="0" w:type="dxa"/>
        </w:tblCellMar>
      </w:tblPr>
      <w:tr>
        <w:trPr>
          <w:trHeight w:val="211"/>
        </w:trPr>
        <w:tc>
          <w:tcPr>
            <w:tcW w:w="472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Weighted Average</w:t>
            </w:r>
          </w:p>
        </w:tc>
      </w:tr>
      <w:tr>
        <w:trPr>
          <w:trHeight w:val="241"/>
        </w:trPr>
        <w:tc>
          <w:tcPr>
            <w:tcW w:w="47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Grant Price</w:t>
            </w: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stock at October 3, 2025</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stock grants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102,881</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vested</w:t>
            </w:r>
          </w:p>
        </w:tc>
        <w:tc>
          <w:tcPr>
            <w:tcW w:w="3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(39,223)</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r>
      <w:tr>
        <w:trPr>
          <w:trHeight w:val="223"/>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Non-vested stock at April 3, 2026</w:t>
            </w:r>
          </w:p>
        </w:tc>
        <w:tc>
          <w:tcPr>
            <w:tcW w:w="3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156,552</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w:t>
            </w: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620" w:right="460"/>
        <w:spacing w:after="0" w:line="266" w:lineRule="auto"/>
        <w:rPr>
          <w:sz w:val="20"/>
          <w:szCs w:val="20"/>
          <w:color w:val="auto"/>
        </w:rPr>
      </w:pPr>
      <w:r>
        <w:rPr>
          <w:rFonts w:ascii="Times New Roman" w:cs="Times New Roman" w:eastAsia="Times New Roman" w:hAnsi="Times New Roman"/>
          <w:sz w:val="18"/>
          <w:szCs w:val="18"/>
          <w:color w:val="auto"/>
        </w:rPr>
        <w:t>Non-vested stock grantees may elect to reimburse the Company for withholding taxes due as a result of the vesting of shares by tendering a portion of the vested shares back to the Company. Shares tendered back to the Company were 2,068 and 1,609 during the six month periods ended April 3, 2026 and March 28, 2025, respectively.</w:t>
      </w:r>
    </w:p>
    <w:p>
      <w:pPr>
        <w:spacing w:after="0" w:line="203" w:lineRule="exact"/>
        <w:rPr>
          <w:sz w:val="20"/>
          <w:szCs w:val="20"/>
          <w:color w:val="auto"/>
        </w:rPr>
      </w:pPr>
    </w:p>
    <w:p>
      <w:pPr>
        <w:ind w:left="620" w:right="120"/>
        <w:spacing w:after="0" w:line="261" w:lineRule="auto"/>
        <w:rPr>
          <w:sz w:val="20"/>
          <w:szCs w:val="20"/>
          <w:color w:val="auto"/>
        </w:rPr>
      </w:pPr>
      <w:r>
        <w:rPr>
          <w:rFonts w:ascii="Times New Roman" w:cs="Times New Roman" w:eastAsia="Times New Roman" w:hAnsi="Times New Roman"/>
          <w:sz w:val="18"/>
          <w:szCs w:val="18"/>
          <w:color w:val="auto"/>
        </w:rPr>
        <w:t>Stock compensation expense, net of forfeitures, related to non-vested stock was $777 and $462 for the three month periods ended April 3, 2026 and March 28, 2025, respectively, and $1,421 and $816 for the six month periods ended April 3, 2026 and March 28, 2025, respectively. Unrecognized compensation cost related to non-vested stock as of April 3, 2026 was $4,676, which amount will be amortized to expense through December 2028 or adjusted for changes in future estimated or actual forfeitures.</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fair value of restricted stock vested during the six month periods ended April 3, 2026 and March 28, 2025 was $276 and $690, respectively.</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left="620" w:right="60"/>
        <w:spacing w:after="0" w:line="255" w:lineRule="auto"/>
        <w:rPr>
          <w:sz w:val="20"/>
          <w:szCs w:val="20"/>
          <w:color w:val="auto"/>
        </w:rPr>
      </w:pPr>
      <w:r>
        <w:rPr>
          <w:rFonts w:ascii="Times New Roman" w:cs="Times New Roman" w:eastAsia="Times New Roman" w:hAnsi="Times New Roman"/>
          <w:sz w:val="18"/>
          <w:szCs w:val="18"/>
          <w:color w:val="auto"/>
        </w:rPr>
        <w:t>All restricted stock units (RSUs) awarded by the Company have been granted in the form of units payable in shares of Class A common stock upon vesting. The units are valued at the fair market value of a share of Class A common stock on the date of grant and vest within one year from the date of grant for RSUs granted to directors, and subject to satisfaction of applicable performance and/or continued service criteria, three years from the date of grant for RSUs granted to employees. The fair value at the date of grant is based on the number of units granted and the average of the Company’s high and low Class A common stock trading price on the date of grant or, if the Company’s Class A shares did not trade on the date of grant, the average of the Company’s high and low Class A common stock trading price on the last preceding date on which the Company’s Class A shares traded.</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 summary of RSU activity for the six months ended April 3, 2026 follows:</w:t>
      </w:r>
    </w:p>
    <w:p>
      <w:pPr>
        <w:spacing w:after="0" w:line="129"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566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Weighted Average</w:t>
            </w:r>
          </w:p>
        </w:tc>
      </w:tr>
      <w:tr>
        <w:trPr>
          <w:trHeight w:val="250"/>
        </w:trPr>
        <w:tc>
          <w:tcPr>
            <w:tcW w:w="56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Number of RSUs</w:t>
            </w: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Grant Price</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at October 3, 2025</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28,899</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r>
      <w:tr>
        <w:trPr>
          <w:trHeight w:val="230"/>
        </w:trPr>
        <w:tc>
          <w:tcPr>
            <w:tcW w:w="5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 and canceled due to performance targets not being met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RSUs at April 3, 2026</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118,902</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w:t>
            </w: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20"/>
        <w:spacing w:after="0" w:line="261" w:lineRule="auto"/>
        <w:rPr>
          <w:sz w:val="20"/>
          <w:szCs w:val="20"/>
          <w:color w:val="auto"/>
        </w:rPr>
      </w:pPr>
      <w:r>
        <w:rPr>
          <w:rFonts w:ascii="Times New Roman" w:cs="Times New Roman" w:eastAsia="Times New Roman" w:hAnsi="Times New Roman"/>
          <w:sz w:val="18"/>
          <w:szCs w:val="18"/>
          <w:color w:val="auto"/>
        </w:rPr>
        <w:t>The Company recognized expense related to RSUs of $171 and $160 for the three month periods ended April 3, 2026 and March 28, 2025, respectively, and $333 and $276 for the six month periods ended April 3, 2026 and March 28, 2025, respectively. Unrecognized compensation cost related to non-vested RSUs as of April 3, 2026 was $1,592, which amount will be amortized to expense through September 2028 or adjusted for changes in future estimated or actual forfeitures.</w:t>
      </w:r>
    </w:p>
    <w:p>
      <w:pPr>
        <w:spacing w:after="0" w:line="207" w:lineRule="exact"/>
        <w:rPr>
          <w:sz w:val="20"/>
          <w:szCs w:val="20"/>
          <w:color w:val="auto"/>
        </w:rPr>
      </w:pPr>
    </w:p>
    <w:p>
      <w:pPr>
        <w:ind w:left="620" w:right="80"/>
        <w:spacing w:after="0" w:line="266" w:lineRule="auto"/>
        <w:rPr>
          <w:sz w:val="20"/>
          <w:szCs w:val="20"/>
          <w:color w:val="auto"/>
        </w:rPr>
      </w:pPr>
      <w:r>
        <w:rPr>
          <w:rFonts w:ascii="Times New Roman" w:cs="Times New Roman" w:eastAsia="Times New Roman" w:hAnsi="Times New Roman"/>
          <w:sz w:val="18"/>
          <w:szCs w:val="18"/>
          <w:color w:val="auto"/>
        </w:rPr>
        <w:t>RSU grantees may elect to reimburse the Company for withholding taxes due as a result of the vesting of units and issuance of unrestricted shares of Class A common stock by tendering a portion of such unrestricted shares back to the Company. Shares tendered back to the Company for this purpose were 0 during both of the six month periods ended April 3, 2026 and March 28, 2025.</w:t>
      </w:r>
    </w:p>
    <w:p>
      <w:pPr>
        <w:spacing w:after="0" w:line="203" w:lineRule="exact"/>
        <w:rPr>
          <w:sz w:val="20"/>
          <w:szCs w:val="20"/>
          <w:color w:val="auto"/>
        </w:rPr>
      </w:pPr>
    </w:p>
    <w:p>
      <w:pPr>
        <w:ind w:left="620" w:right="40"/>
        <w:spacing w:after="0" w:line="282" w:lineRule="auto"/>
        <w:rPr>
          <w:sz w:val="20"/>
          <w:szCs w:val="20"/>
          <w:color w:val="auto"/>
        </w:rPr>
      </w:pPr>
      <w:r>
        <w:rPr>
          <w:rFonts w:ascii="Times New Roman" w:cs="Times New Roman" w:eastAsia="Times New Roman" w:hAnsi="Times New Roman"/>
          <w:sz w:val="18"/>
          <w:szCs w:val="18"/>
          <w:color w:val="auto"/>
        </w:rPr>
        <w:t>The fair value of restricted stock units recognized as a tax deduction during the six month periods ended April 3, 2026 and March 28, 2025 was $0 and $0, respectively.</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259" w:right="339" w:bottom="1440" w:gutter="0" w:footer="0" w:header="0"/>
        </w:sectPr>
      </w:pPr>
    </w:p>
    <w:bookmarkStart w:id="11" w:name="page12"/>
    <w:bookmarkEnd w:id="11"/>
    <w:p>
      <w:pPr>
        <w:ind w:left="32"/>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200" w:lineRule="exact"/>
        <w:rPr>
          <w:sz w:val="20"/>
          <w:szCs w:val="20"/>
          <w:color w:val="auto"/>
        </w:rPr>
      </w:pPr>
    </w:p>
    <w:p>
      <w:pPr>
        <w:spacing w:after="0" w:line="367" w:lineRule="exact"/>
        <w:rPr>
          <w:sz w:val="20"/>
          <w:szCs w:val="20"/>
          <w:color w:val="auto"/>
        </w:rPr>
      </w:pPr>
    </w:p>
    <w:p>
      <w:pPr>
        <w:ind w:left="652" w:right="20"/>
        <w:spacing w:after="0" w:line="238" w:lineRule="auto"/>
        <w:rPr>
          <w:sz w:val="20"/>
          <w:szCs w:val="20"/>
          <w:color w:val="auto"/>
        </w:rPr>
      </w:pPr>
      <w:r>
        <w:rPr>
          <w:rFonts w:ascii="Times New Roman" w:cs="Times New Roman" w:eastAsia="Times New Roman" w:hAnsi="Times New Roman"/>
          <w:sz w:val="18"/>
          <w:szCs w:val="18"/>
          <w:color w:val="auto"/>
        </w:rPr>
        <w:t>Compensation expense related to units earned by employees (as opposed to grants to outside directors) is based upon the attainment of certain pre-determined financial performance goals for the Company. For awards made in fiscal 2026, those goals are based on fiscal 2026 net sales and pre-tax income as a percentage of sales, weighted equally. The awards cover a one-year performance period but have a time based vesting requirement of three years. Awards are only paid if at least 70% of the target levels are met, and maximum payouts are made if 120% or more of target levels are achieved. The payouts for achievement at the threshold levels of performance are equal to 25% of the target award amount. The payouts for achievement at maximum levels of performance are equal to 200% of the target award amount for units granted in fiscal 2026.</w:t>
      </w:r>
    </w:p>
    <w:p>
      <w:pPr>
        <w:spacing w:after="0" w:line="213" w:lineRule="exact"/>
        <w:rPr>
          <w:sz w:val="20"/>
          <w:szCs w:val="20"/>
          <w:color w:val="auto"/>
        </w:rPr>
      </w:pPr>
    </w:p>
    <w:p>
      <w:pPr>
        <w:ind w:left="652" w:right="100"/>
        <w:spacing w:after="0"/>
        <w:rPr>
          <w:sz w:val="20"/>
          <w:szCs w:val="20"/>
          <w:color w:val="auto"/>
        </w:rPr>
      </w:pPr>
      <w:r>
        <w:rPr>
          <w:rFonts w:ascii="Times New Roman" w:cs="Times New Roman" w:eastAsia="Times New Roman" w:hAnsi="Times New Roman"/>
          <w:sz w:val="18"/>
          <w:szCs w:val="18"/>
          <w:color w:val="auto"/>
        </w:rPr>
        <w:t>For the units granted prior to fiscal 2026, the financial goals are related to cumulative net sales and cumulative pre-tax income, weighted equally, and are measured over a three-year performance period. Awards are only paid if at least 80% of the target levels are met, and maximum payouts are made if 120% or more of target levels are achieved. The payouts for achievement at the threshold levels of performance are equal to 50% of the target award amount. The payouts for achievement at maximum levels of performance are equal to 150% of the target award amount for units awarded prior to fiscal 2025 and payouts for achievement at maximum levels of performance are equal to 200% of the target award amount for units awarded in fiscal 2025. To the extent earned, awards are issued in shares of Company Class A common stock after the end of the vesting period.</w:t>
      </w:r>
    </w:p>
    <w:p>
      <w:pPr>
        <w:spacing w:after="0" w:line="22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i w:val="1"/>
          <w:iCs w:val="1"/>
          <w:color w:val="auto"/>
        </w:rPr>
        <w:t>Employees’ Stock Purchase Plan</w:t>
      </w:r>
    </w:p>
    <w:p>
      <w:pPr>
        <w:spacing w:after="0" w:line="256" w:lineRule="exact"/>
        <w:rPr>
          <w:sz w:val="20"/>
          <w:szCs w:val="20"/>
          <w:color w:val="auto"/>
        </w:rPr>
      </w:pPr>
    </w:p>
    <w:p>
      <w:pPr>
        <w:ind w:left="652" w:right="160"/>
        <w:spacing w:after="0" w:line="261" w:lineRule="auto"/>
        <w:rPr>
          <w:sz w:val="20"/>
          <w:szCs w:val="20"/>
          <w:color w:val="auto"/>
        </w:rPr>
      </w:pPr>
      <w:r>
        <w:rPr>
          <w:rFonts w:ascii="Times New Roman" w:cs="Times New Roman" w:eastAsia="Times New Roman" w:hAnsi="Times New Roman"/>
          <w:sz w:val="18"/>
          <w:szCs w:val="18"/>
          <w:color w:val="auto"/>
        </w:rPr>
        <w:t>The Company’s shareholders previously adopted the Johnson Outdoors Inc. 2009 Employees’ Stock Purchase Plan, which was most recently amended on March 2, 2017, but was terminated effective as of May 9, 2025. Prior to termination, this plan provided for the issuance of shares of Class A common stock at a purchase price of not less than 85% of the fair market value of such shares on the date of grant or on the date of purchase, whichever is lower.</w:t>
      </w:r>
    </w:p>
    <w:p>
      <w:pPr>
        <w:spacing w:after="0" w:line="207" w:lineRule="exact"/>
        <w:rPr>
          <w:sz w:val="20"/>
          <w:szCs w:val="20"/>
          <w:color w:val="auto"/>
        </w:rPr>
      </w:pPr>
    </w:p>
    <w:p>
      <w:pPr>
        <w:ind w:left="652" w:right="40"/>
        <w:spacing w:after="0" w:line="261" w:lineRule="auto"/>
        <w:rPr>
          <w:sz w:val="20"/>
          <w:szCs w:val="20"/>
          <w:color w:val="auto"/>
        </w:rPr>
      </w:pPr>
      <w:r>
        <w:rPr>
          <w:rFonts w:ascii="Times New Roman" w:cs="Times New Roman" w:eastAsia="Times New Roman" w:hAnsi="Times New Roman"/>
          <w:sz w:val="18"/>
          <w:szCs w:val="18"/>
          <w:color w:val="auto"/>
        </w:rPr>
        <w:t>During the three and six month periods ended April 3, 2026, the Company issued 0 shares of Class A common stock and recognized $0 of income in connection with the Employees' Stock Purchase Plan. During the three month period ended March 28, 2025, the Company issued 0 shares of Class A common stock and recognized $128 of expense in connection with this plan. During the six month period ended March 28, 2025, the Company issued 0 shares of Class A common stock and recognized $165 of expense in connection with this plan.</w:t>
      </w:r>
    </w:p>
    <w:p>
      <w:pPr>
        <w:spacing w:after="0" w:line="257" w:lineRule="exact"/>
        <w:rPr>
          <w:sz w:val="20"/>
          <w:szCs w:val="20"/>
          <w:color w:val="auto"/>
        </w:rPr>
      </w:pPr>
    </w:p>
    <w:p>
      <w:pPr>
        <w:ind w:left="272" w:hanging="272"/>
        <w:spacing w:after="0"/>
        <w:tabs>
          <w:tab w:leader="none" w:pos="2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LEASES</w:t>
      </w:r>
    </w:p>
    <w:p>
      <w:pPr>
        <w:spacing w:after="0" w:line="297" w:lineRule="exact"/>
        <w:rPr>
          <w:sz w:val="20"/>
          <w:szCs w:val="20"/>
          <w:color w:val="auto"/>
        </w:rPr>
      </w:pPr>
    </w:p>
    <w:p>
      <w:pPr>
        <w:ind w:left="652" w:right="120"/>
        <w:spacing w:after="0" w:line="282" w:lineRule="auto"/>
        <w:rPr>
          <w:sz w:val="20"/>
          <w:szCs w:val="20"/>
          <w:color w:val="auto"/>
        </w:rPr>
      </w:pPr>
      <w:r>
        <w:rPr>
          <w:rFonts w:ascii="Times New Roman" w:cs="Times New Roman" w:eastAsia="Times New Roman" w:hAnsi="Times New Roman"/>
          <w:sz w:val="18"/>
          <w:szCs w:val="18"/>
          <w:color w:val="auto"/>
        </w:rPr>
        <w:t>The Company leases certain facilities and machinery and equipment under long-term, non-cancelable operating leases. The Company determines if an arrangement is a lease at inception.</w:t>
      </w:r>
    </w:p>
    <w:p>
      <w:pPr>
        <w:spacing w:after="0" w:line="189" w:lineRule="exact"/>
        <w:rPr>
          <w:sz w:val="20"/>
          <w:szCs w:val="20"/>
          <w:color w:val="auto"/>
        </w:rPr>
      </w:pPr>
    </w:p>
    <w:p>
      <w:pPr>
        <w:ind w:left="652" w:right="100"/>
        <w:spacing w:after="0" w:line="254" w:lineRule="auto"/>
        <w:rPr>
          <w:sz w:val="20"/>
          <w:szCs w:val="20"/>
          <w:color w:val="auto"/>
        </w:rPr>
      </w:pPr>
      <w:r>
        <w:rPr>
          <w:rFonts w:ascii="Times New Roman" w:cs="Times New Roman" w:eastAsia="Times New Roman" w:hAnsi="Times New Roman"/>
          <w:sz w:val="18"/>
          <w:szCs w:val="18"/>
          <w:color w:val="auto"/>
        </w:rPr>
        <w:t>As of April 3, 2026, the Company had approximately 150 leases, with remaining terms ranging from less than one year to 14 years. Some of the leases contain variable payment terms, such as payments based on fluctuations in the Consumer Price Index (CPI). Some leases also contain options to extend or terminate the lease. To the extent the Company is reasonably certain to exercise these options, they have been considered in the calculation of the right-of-use ("ROU") assets and lease liabilities. Under current lease agreements, there are no residual value guarantees or restrictive lease covenants. In calculating the ROU assets and lease liabilities, several assumptions and judgments were made by the Company, including whether a contract is or contains a lease under the applicable definition, and the determination of the discount rate, which is assumed to be the incremental borrowing rate. The incremental borrowing rate is derived from information available to the Company at the lease commencement date based on lease length and location.</w:t>
      </w:r>
    </w:p>
    <w:p>
      <w:pPr>
        <w:spacing w:after="0" w:line="219"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The components of lease expense recognized in the accompanying Condensed Consolidated Statements of Operations for the three and six months ended April 3, 2026 and March 28, 2025 were as follows:</w:t>
      </w:r>
    </w:p>
    <w:p>
      <w:pPr>
        <w:spacing w:after="0" w:line="200" w:lineRule="exact"/>
        <w:rPr>
          <w:sz w:val="20"/>
          <w:szCs w:val="20"/>
          <w:color w:val="auto"/>
        </w:rPr>
      </w:pPr>
    </w:p>
    <w:p>
      <w:pPr>
        <w:spacing w:after="0" w:line="34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25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200" w:lineRule="exact"/>
        <w:rPr>
          <w:sz w:val="20"/>
          <w:szCs w:val="20"/>
          <w:color w:val="auto"/>
        </w:rPr>
      </w:pP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264"/>
        </w:trPr>
        <w:tc>
          <w:tcPr>
            <w:tcW w:w="3400" w:type="dxa"/>
            <w:vAlign w:val="bottom"/>
            <w:tcBorders>
              <w:top w:val="single" w:sz="8" w:color="auto"/>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2700" w:type="dxa"/>
            <w:vAlign w:val="bottom"/>
            <w:tcBorders>
              <w:top w:val="single" w:sz="8" w:color="auto"/>
              <w:bottom w:val="single" w:sz="8" w:color="auto"/>
            </w:tcBorders>
            <w:gridSpan w:val="3"/>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2720" w:type="dxa"/>
            <w:vAlign w:val="bottom"/>
            <w:tcBorders>
              <w:top w:val="single" w:sz="8" w:color="auto"/>
              <w:bottom w:val="single" w:sz="8" w:color="auto"/>
            </w:tcBorders>
            <w:gridSpan w:val="3"/>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6"/>
        </w:trPr>
        <w:tc>
          <w:tcPr>
            <w:tcW w:w="3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April 3, 2026</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March 28, 2025</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April 3, 2026</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March 28, 2025</w:t>
            </w:r>
          </w:p>
        </w:tc>
      </w:tr>
      <w:tr>
        <w:trPr>
          <w:trHeight w:val="23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w:t>
            </w:r>
          </w:p>
        </w:tc>
      </w:tr>
      <w:tr>
        <w:trPr>
          <w:trHeight w:val="229"/>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lease costs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37"/>
        </w:trPr>
        <w:tc>
          <w:tcPr>
            <w:tcW w:w="3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Variable lease costs</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55"/>
        </w:trPr>
        <w:tc>
          <w:tcPr>
            <w:tcW w:w="3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20"/>
        <w:spacing w:after="0" w:line="282" w:lineRule="auto"/>
        <w:rPr>
          <w:sz w:val="20"/>
          <w:szCs w:val="20"/>
          <w:color w:val="auto"/>
        </w:rPr>
      </w:pPr>
      <w:r>
        <w:rPr>
          <w:rFonts w:ascii="Times New Roman" w:cs="Times New Roman" w:eastAsia="Times New Roman" w:hAnsi="Times New Roman"/>
          <w:sz w:val="18"/>
          <w:szCs w:val="18"/>
          <w:color w:val="auto"/>
        </w:rPr>
        <w:t>Included in the amounts in the table above were rent expense to related parties of $314 and $627 for the three and six months ended April 3, 2026, respectively, and $313 and $627 for the three and six months ended March 28, 2025, respectively.</w:t>
      </w:r>
    </w:p>
    <w:p>
      <w:pPr>
        <w:spacing w:after="0" w:line="189" w:lineRule="exact"/>
        <w:rPr>
          <w:sz w:val="20"/>
          <w:szCs w:val="20"/>
          <w:color w:val="auto"/>
        </w:rPr>
      </w:pPr>
    </w:p>
    <w:p>
      <w:pPr>
        <w:ind w:left="620" w:right="40"/>
        <w:spacing w:after="0" w:line="261" w:lineRule="auto"/>
        <w:rPr>
          <w:sz w:val="20"/>
          <w:szCs w:val="20"/>
          <w:color w:val="auto"/>
        </w:rPr>
      </w:pPr>
      <w:r>
        <w:rPr>
          <w:rFonts w:ascii="Times New Roman" w:cs="Times New Roman" w:eastAsia="Times New Roman" w:hAnsi="Times New Roman"/>
          <w:sz w:val="18"/>
          <w:szCs w:val="18"/>
          <w:color w:val="auto"/>
        </w:rPr>
        <w:t>As of April 3, 2026, the Company did not have any finance leases or sublease agreements. Additionally, the Company does not have any leases in which it is the lessor. While the Company extended or renewed various existing leases during the quarter, there were no significant new leases entered into during the quarter ended April 3, 2026. As of April 3, 2026, the Company did not have any significant operating lease commitments that have not yet commenced. Supplemental balance sheet, cash flow, and other information related to operating leases was as follows:</w:t>
      </w:r>
    </w:p>
    <w:p>
      <w:pPr>
        <w:spacing w:after="0" w:line="326" w:lineRule="exact"/>
        <w:rPr>
          <w:sz w:val="20"/>
          <w:szCs w:val="20"/>
          <w:color w:val="auto"/>
        </w:rPr>
      </w:pPr>
    </w:p>
    <w:tbl>
      <w:tblPr>
        <w:tblLayout w:type="fixed"/>
        <w:tblInd w:w="1080" w:type="dxa"/>
        <w:tblCellMar>
          <w:top w:w="0" w:type="dxa"/>
          <w:left w:w="0" w:type="dxa"/>
          <w:bottom w:w="0" w:type="dxa"/>
          <w:right w:w="0" w:type="dxa"/>
        </w:tblCellMar>
      </w:tblPr>
      <w:tr>
        <w:trPr>
          <w:trHeight w:val="264"/>
        </w:trPr>
        <w:tc>
          <w:tcPr>
            <w:tcW w:w="5660" w:type="dxa"/>
            <w:vAlign w:val="bottom"/>
            <w:tcBorders>
              <w:top w:val="single" w:sz="8" w:color="auto"/>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3120" w:type="dxa"/>
            <w:vAlign w:val="bottom"/>
            <w:tcBorders>
              <w:top w:val="single" w:sz="8" w:color="auto"/>
              <w:bottom w:val="single" w:sz="8" w:color="auto"/>
            </w:tcBorders>
            <w:gridSpan w:val="3"/>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6"/>
        </w:trPr>
        <w:tc>
          <w:tcPr>
            <w:tcW w:w="5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April 3, 2026</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March 28, 2025</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70"/>
        </w:trPr>
        <w:tc>
          <w:tcPr>
            <w:tcW w:w="5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4"/>
        </w:trPr>
        <w:tc>
          <w:tcPr>
            <w:tcW w:w="5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43,846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46,978</w:t>
            </w:r>
          </w:p>
        </w:tc>
      </w:tr>
      <w:tr>
        <w:trPr>
          <w:trHeight w:val="20"/>
        </w:trPr>
        <w:tc>
          <w:tcPr>
            <w:tcW w:w="5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8,478</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8,130</w:t>
            </w:r>
          </w:p>
        </w:tc>
      </w:tr>
      <w:tr>
        <w:trPr>
          <w:trHeight w:val="236"/>
        </w:trPr>
        <w:tc>
          <w:tcPr>
            <w:tcW w:w="5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37,507</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40,695</w:t>
            </w:r>
          </w:p>
        </w:tc>
      </w:tr>
      <w:tr>
        <w:trPr>
          <w:trHeight w:val="255"/>
        </w:trPr>
        <w:tc>
          <w:tcPr>
            <w:tcW w:w="5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45,985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48,825</w:t>
            </w:r>
          </w:p>
        </w:tc>
      </w:tr>
      <w:tr>
        <w:trPr>
          <w:trHeight w:val="20"/>
        </w:trPr>
        <w:tc>
          <w:tcPr>
            <w:tcW w:w="5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70"/>
        </w:trPr>
        <w:tc>
          <w:tcPr>
            <w:tcW w:w="5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70"/>
        </w:trPr>
        <w:tc>
          <w:tcPr>
            <w:tcW w:w="5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5,028</w:t>
            </w:r>
          </w:p>
        </w:tc>
      </w:tr>
      <w:tr>
        <w:trPr>
          <w:trHeight w:val="270"/>
        </w:trPr>
        <w:tc>
          <w:tcPr>
            <w:tcW w:w="5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4,032</w:t>
            </w:r>
          </w:p>
        </w:tc>
      </w:tr>
    </w:tbl>
    <w:p>
      <w:pPr>
        <w:spacing w:after="0" w:line="306" w:lineRule="exact"/>
        <w:rPr>
          <w:sz w:val="20"/>
          <w:szCs w:val="20"/>
          <w:color w:val="auto"/>
        </w:rPr>
      </w:pPr>
    </w:p>
    <w:p>
      <w:pPr>
        <w:ind w:left="620" w:right="100"/>
        <w:spacing w:after="0" w:line="282" w:lineRule="auto"/>
        <w:rPr>
          <w:sz w:val="20"/>
          <w:szCs w:val="20"/>
          <w:color w:val="auto"/>
        </w:rPr>
      </w:pPr>
      <w:r>
        <w:rPr>
          <w:rFonts w:ascii="Times New Roman" w:cs="Times New Roman" w:eastAsia="Times New Roman" w:hAnsi="Times New Roman"/>
          <w:sz w:val="18"/>
          <w:szCs w:val="18"/>
          <w:color w:val="auto"/>
        </w:rPr>
        <w:t>Future minimum rental commitments under non-cancelable operating leases with an initial lease term in excess of one year at April 3, 2026 were as follows: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259" w:right="379"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200" w:lineRule="exact"/>
        <w:rPr>
          <w:sz w:val="20"/>
          <w:szCs w:val="20"/>
          <w:color w:val="auto"/>
        </w:rPr>
      </w:pPr>
    </w:p>
    <w:p>
      <w:pPr>
        <w:spacing w:after="0" w:line="243" w:lineRule="exact"/>
        <w:rPr>
          <w:sz w:val="20"/>
          <w:szCs w:val="20"/>
          <w:color w:val="auto"/>
        </w:rPr>
      </w:pPr>
    </w:p>
    <w:tbl>
      <w:tblPr>
        <w:tblLayout w:type="fixed"/>
        <w:tblInd w:w="700" w:type="dxa"/>
        <w:tblCellMar>
          <w:top w:w="0" w:type="dxa"/>
          <w:left w:w="0" w:type="dxa"/>
          <w:bottom w:w="0" w:type="dxa"/>
          <w:right w:w="0" w:type="dxa"/>
        </w:tblCellMar>
      </w:tblPr>
      <w:tr>
        <w:trPr>
          <w:trHeight w:val="211"/>
        </w:trPr>
        <w:tc>
          <w:tcPr>
            <w:tcW w:w="38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Related parties included</w:t>
            </w:r>
          </w:p>
        </w:tc>
        <w:tc>
          <w:tcPr>
            <w:tcW w:w="6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41"/>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440" w:type="dxa"/>
            <w:vAlign w:val="bottom"/>
            <w:tcBorders>
              <w:bottom w:val="single" w:sz="8" w:color="auto"/>
            </w:tcBorders>
            <w:shd w:val="clear" w:color="auto" w:fill="CCEEFF"/>
          </w:tcPr>
          <w:p>
            <w:pPr>
              <w:spacing w:after="0"/>
              <w:rPr>
                <w:sz w:val="20"/>
                <w:szCs w:val="20"/>
                <w:color w:val="auto"/>
              </w:rPr>
            </w:pPr>
          </w:p>
        </w:tc>
        <w:tc>
          <w:tcPr>
            <w:tcW w:w="22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in total</w:t>
            </w:r>
          </w:p>
        </w:tc>
        <w:tc>
          <w:tcPr>
            <w:tcW w:w="68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Total</w:t>
            </w: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677</w:t>
            </w:r>
          </w:p>
        </w:tc>
        <w:tc>
          <w:tcPr>
            <w:tcW w:w="6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w:t>
            </w: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40" w:type="dxa"/>
            <w:vAlign w:val="bottom"/>
            <w:shd w:val="clear" w:color="auto" w:fill="CCEEFF"/>
          </w:tcPr>
          <w:p>
            <w:pPr>
              <w:spacing w:after="0"/>
              <w:rPr>
                <w:sz w:val="19"/>
                <w:szCs w:val="19"/>
                <w:color w:val="auto"/>
              </w:rPr>
            </w:pPr>
          </w:p>
        </w:tc>
        <w:tc>
          <w:tcPr>
            <w:tcW w:w="2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226</w:t>
            </w:r>
          </w:p>
        </w:tc>
        <w:tc>
          <w:tcPr>
            <w:tcW w:w="6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w:t>
            </w: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40" w:type="dxa"/>
            <w:vAlign w:val="bottom"/>
          </w:tcPr>
          <w:p>
            <w:pPr>
              <w:spacing w:after="0"/>
              <w:rPr>
                <w:sz w:val="19"/>
                <w:szCs w:val="19"/>
                <w:color w:val="auto"/>
              </w:rPr>
            </w:pPr>
          </w:p>
        </w:tc>
        <w:tc>
          <w:tcPr>
            <w:tcW w:w="2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w:t>
            </w:r>
          </w:p>
        </w:tc>
      </w:tr>
      <w:tr>
        <w:trPr>
          <w:trHeight w:val="23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40" w:type="dxa"/>
            <w:vAlign w:val="bottom"/>
            <w:shd w:val="clear" w:color="auto" w:fill="CCEEFF"/>
          </w:tcPr>
          <w:p>
            <w:pPr>
              <w:spacing w:after="0"/>
              <w:rPr>
                <w:sz w:val="19"/>
                <w:szCs w:val="19"/>
                <w:color w:val="auto"/>
              </w:rPr>
            </w:pPr>
          </w:p>
        </w:tc>
        <w:tc>
          <w:tcPr>
            <w:tcW w:w="2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40" w:type="dxa"/>
            <w:vAlign w:val="bottom"/>
          </w:tcPr>
          <w:p>
            <w:pPr>
              <w:spacing w:after="0"/>
              <w:rPr>
                <w:sz w:val="19"/>
                <w:szCs w:val="19"/>
                <w:color w:val="auto"/>
              </w:rPr>
            </w:pPr>
          </w:p>
        </w:tc>
        <w:tc>
          <w:tcPr>
            <w:tcW w:w="2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r>
      <w:tr>
        <w:trPr>
          <w:trHeight w:val="230"/>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4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26,539</w:t>
            </w: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440" w:type="dxa"/>
            <w:vAlign w:val="bottom"/>
          </w:tcPr>
          <w:p>
            <w:pPr>
              <w:spacing w:after="0"/>
              <w:rPr>
                <w:sz w:val="19"/>
                <w:szCs w:val="19"/>
                <w:color w:val="auto"/>
              </w:rPr>
            </w:pPr>
          </w:p>
        </w:tc>
        <w:tc>
          <w:tcPr>
            <w:tcW w:w="2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903</w:t>
            </w:r>
          </w:p>
        </w:tc>
        <w:tc>
          <w:tcPr>
            <w:tcW w:w="6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54,428</w:t>
            </w:r>
          </w:p>
        </w:tc>
      </w:tr>
      <w:tr>
        <w:trPr>
          <w:trHeight w:val="237"/>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440" w:type="dxa"/>
            <w:vAlign w:val="bottom"/>
            <w:tcBorders>
              <w:bottom w:val="single" w:sz="8" w:color="auto"/>
            </w:tcBorders>
            <w:shd w:val="clear" w:color="auto" w:fill="CCEEFF"/>
          </w:tcPr>
          <w:p>
            <w:pPr>
              <w:spacing w:after="0"/>
              <w:rPr>
                <w:sz w:val="20"/>
                <w:szCs w:val="20"/>
                <w:color w:val="auto"/>
              </w:rPr>
            </w:pPr>
          </w:p>
        </w:tc>
        <w:tc>
          <w:tcPr>
            <w:tcW w:w="2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w:t>
            </w:r>
          </w:p>
        </w:tc>
      </w:tr>
      <w:tr>
        <w:trPr>
          <w:trHeight w:val="229"/>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lease liability</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898</w:t>
            </w:r>
          </w:p>
        </w:tc>
        <w:tc>
          <w:tcPr>
            <w:tcW w:w="6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45,985</w:t>
            </w:r>
          </w:p>
        </w:tc>
      </w:tr>
      <w:tr>
        <w:trPr>
          <w:trHeight w:val="21"/>
        </w:trPr>
        <w:tc>
          <w:tcPr>
            <w:tcW w:w="3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April 3, 2026 and March 28, 2025, the Company’s earnings before income taxes, income tax expense and effective income tax rate were as follows:</w:t>
      </w:r>
    </w:p>
    <w:p>
      <w:pPr>
        <w:spacing w:after="0" w:line="308" w:lineRule="exact"/>
        <w:rPr>
          <w:sz w:val="20"/>
          <w:szCs w:val="20"/>
          <w:color w:val="auto"/>
        </w:rPr>
      </w:pPr>
    </w:p>
    <w:tbl>
      <w:tblPr>
        <w:tblLayout w:type="fixed"/>
        <w:tblInd w:w="760" w:type="dxa"/>
        <w:tblCellMar>
          <w:top w:w="0" w:type="dxa"/>
          <w:left w:w="0" w:type="dxa"/>
          <w:bottom w:w="0" w:type="dxa"/>
          <w:right w:w="0" w:type="dxa"/>
        </w:tblCellMar>
      </w:tblPr>
      <w:tr>
        <w:trPr>
          <w:trHeight w:val="263"/>
        </w:trPr>
        <w:tc>
          <w:tcPr>
            <w:tcW w:w="298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3140" w:type="dxa"/>
            <w:vAlign w:val="bottom"/>
            <w:tcBorders>
              <w:top w:val="single" w:sz="8" w:color="auto"/>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Borders>
              <w:top w:val="single" w:sz="8" w:color="auto"/>
              <w:bottom w:val="single" w:sz="8" w:color="auto"/>
            </w:tcBorders>
          </w:tcPr>
          <w:p>
            <w:pPr>
              <w:spacing w:after="0"/>
              <w:rPr>
                <w:sz w:val="22"/>
                <w:szCs w:val="22"/>
                <w:color w:val="auto"/>
              </w:rPr>
            </w:pPr>
          </w:p>
        </w:tc>
        <w:tc>
          <w:tcPr>
            <w:tcW w:w="3160" w:type="dxa"/>
            <w:vAlign w:val="bottom"/>
            <w:tcBorders>
              <w:top w:val="single" w:sz="8" w:color="auto"/>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412"/>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(thousands, except tax rate data)</w:t>
            </w: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April 3, 2026</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March 28, 2025</w:t>
            </w: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April 3, 2026</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March 28, 2025</w:t>
            </w:r>
          </w:p>
        </w:tc>
      </w:tr>
      <w:tr>
        <w:trPr>
          <w:trHeight w:val="229"/>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(14,769)</w:t>
            </w:r>
          </w:p>
        </w:tc>
      </w:tr>
      <w:tr>
        <w:trPr>
          <w:trHeight w:val="230"/>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798</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1,854</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2,843</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(1,783)</w:t>
            </w:r>
          </w:p>
        </w:tc>
      </w:tr>
      <w:tr>
        <w:trPr>
          <w:trHeight w:val="248"/>
        </w:trPr>
        <w:tc>
          <w:tcPr>
            <w:tcW w:w="2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0"/>
        </w:trPr>
        <w:tc>
          <w:tcPr>
            <w:tcW w:w="2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660" w:right="220"/>
        <w:spacing w:after="0" w:line="273" w:lineRule="auto"/>
        <w:rPr>
          <w:sz w:val="20"/>
          <w:szCs w:val="20"/>
          <w:color w:val="auto"/>
        </w:rPr>
      </w:pPr>
      <w:r>
        <w:rPr>
          <w:rFonts w:ascii="Times New Roman" w:cs="Times New Roman" w:eastAsia="Times New Roman" w:hAnsi="Times New Roman"/>
          <w:sz w:val="17"/>
          <w:szCs w:val="17"/>
          <w:color w:val="auto"/>
        </w:rPr>
        <w:t>The change in the Company’s effective tax rate for the three and six months ended April 3, 2026 compared to the three and six months ended March 28, 2025 was primarily due to an adjustment related to its U.S. valuation allowance on deferred tax assets. Additionally, the change was</w:t>
      </w:r>
    </w:p>
    <w:p>
      <w:pPr>
        <w:spacing w:after="0" w:line="1" w:lineRule="exact"/>
        <w:rPr>
          <w:sz w:val="20"/>
          <w:szCs w:val="20"/>
          <w:color w:val="auto"/>
        </w:rPr>
      </w:pPr>
    </w:p>
    <w:p>
      <w:pPr>
        <w:jc w:val="both"/>
        <w:ind w:left="660" w:right="40"/>
        <w:spacing w:after="0" w:line="250" w:lineRule="auto"/>
        <w:rPr>
          <w:sz w:val="20"/>
          <w:szCs w:val="20"/>
          <w:color w:val="auto"/>
        </w:rPr>
      </w:pPr>
      <w:r>
        <w:rPr>
          <w:rFonts w:ascii="Times New Roman" w:cs="Times New Roman" w:eastAsia="Times New Roman" w:hAnsi="Times New Roman"/>
          <w:sz w:val="18"/>
          <w:szCs w:val="18"/>
          <w:color w:val="auto"/>
        </w:rPr>
        <w:t>further driven by the geographic mix of profits or losses from a tax perspective in the current year. The Company's effective tax rate is impacted by valuation allowances in domestic and certain foreign tax jurisdictions and, as a result, changes in the geographic source of Company profits or losses between periods can, in certain instances, have varying impacts on the Company's effective tax rate during a particular period.</w:t>
      </w:r>
    </w:p>
    <w:p>
      <w:pPr>
        <w:spacing w:after="0" w:line="204" w:lineRule="exact"/>
        <w:rPr>
          <w:sz w:val="20"/>
          <w:szCs w:val="20"/>
          <w:color w:val="auto"/>
        </w:rPr>
      </w:pPr>
    </w:p>
    <w:p>
      <w:pPr>
        <w:ind w:left="660"/>
        <w:spacing w:after="0" w:line="237" w:lineRule="auto"/>
        <w:rPr>
          <w:sz w:val="20"/>
          <w:szCs w:val="20"/>
          <w:color w:val="auto"/>
        </w:rPr>
      </w:pPr>
      <w:r>
        <w:rPr>
          <w:rFonts w:ascii="Times New Roman" w:cs="Times New Roman" w:eastAsia="Times New Roman" w:hAnsi="Times New Roman"/>
          <w:sz w:val="18"/>
          <w:szCs w:val="18"/>
          <w:color w:val="auto"/>
        </w:rPr>
        <w:t>The Company maintains valuation allowances when it is more likely than not that all or a portion of a deferred tax asset will not be realized. Changes in valuation allowances from period to period are included in the tax provision in the period of change. In determining whether a valuation allowance is required, the Company considers such factors as prior earnings history, expected future earnings, carry-back and carry-forward periods, and tax strategies that could potentially enhance the likelihood of realization of a deferred tax asset. Due to recent operating losses in the U.S., the Company has evaluated the realizability of U.S. net deferred tax assets. The Company determined during fiscal year 2025 that it was more likely than not that certain deferred tax assets will not be realized and a valuation allowance was reported against the net deferred tax assets for the U.S.</w:t>
      </w:r>
    </w:p>
    <w:p>
      <w:pPr>
        <w:spacing w:after="0" w:line="230"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The impact of the Company’s operations in jurisdictions where a valuation allowance is assessed is removed from the overall effective tax rate methodology and recorded directly based on year to date results for the year for which no tax expense or benefit can be recognized. The significant tax jurisdictions that have a valuation allowance for the periods ended April 3, 2026 and March 28, 2025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200660</wp:posOffset>
            </wp:positionV>
            <wp:extent cx="3566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18" w:lineRule="exact"/>
        <w:rPr>
          <w:sz w:val="20"/>
          <w:szCs w:val="20"/>
          <w:color w:val="auto"/>
        </w:rPr>
      </w:pPr>
    </w:p>
    <w:p>
      <w:pPr>
        <w:ind w:left="3840"/>
        <w:spacing w:after="0"/>
        <w:tabs>
          <w:tab w:leader="none" w:pos="6540" w:val="left"/>
        </w:tabs>
        <w:rPr>
          <w:sz w:val="20"/>
          <w:szCs w:val="20"/>
          <w:color w:val="auto"/>
        </w:rPr>
      </w:pPr>
      <w:r>
        <w:rPr>
          <w:rFonts w:ascii="Times New Roman" w:cs="Times New Roman" w:eastAsia="Times New Roman" w:hAnsi="Times New Roman"/>
          <w:sz w:val="18"/>
          <w:szCs w:val="18"/>
          <w:color w:val="auto"/>
        </w:rPr>
        <w:t>April 3, 2026</w:t>
      </w:r>
      <w:r>
        <w:rPr>
          <w:sz w:val="20"/>
          <w:szCs w:val="20"/>
          <w:color w:val="auto"/>
        </w:rPr>
        <w:tab/>
      </w:r>
      <w:r>
        <w:rPr>
          <w:rFonts w:ascii="Times New Roman" w:cs="Times New Roman" w:eastAsia="Times New Roman" w:hAnsi="Times New Roman"/>
          <w:sz w:val="17"/>
          <w:szCs w:val="17"/>
          <w:color w:val="auto"/>
        </w:rPr>
        <w:t>March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162560"/>
                    </a:xfrm>
                    <a:prstGeom prst="rect">
                      <a:avLst/>
                    </a:prstGeom>
                    <a:noFill/>
                  </pic:spPr>
                </pic:pic>
              </a:graphicData>
            </a:graphic>
          </wp:anchor>
        </w:drawing>
      </w:r>
    </w:p>
    <w:p>
      <w:pPr>
        <w:spacing w:after="0" w:line="30" w:lineRule="exact"/>
        <w:rPr>
          <w:sz w:val="20"/>
          <w:szCs w:val="20"/>
          <w:color w:val="auto"/>
        </w:rPr>
      </w:pPr>
    </w:p>
    <w:p>
      <w:pPr>
        <w:ind w:left="3960"/>
        <w:spacing w:after="0"/>
        <w:tabs>
          <w:tab w:leader="none" w:pos="6760" w:val="left"/>
        </w:tabs>
        <w:rPr>
          <w:sz w:val="20"/>
          <w:szCs w:val="20"/>
          <w:color w:val="auto"/>
        </w:rPr>
      </w:pPr>
      <w:r>
        <w:rPr>
          <w:rFonts w:ascii="Times New Roman" w:cs="Times New Roman" w:eastAsia="Times New Roman" w:hAnsi="Times New Roman"/>
          <w:sz w:val="18"/>
          <w:szCs w:val="18"/>
          <w:color w:val="auto"/>
        </w:rPr>
        <w:t>Indonesia</w:t>
      </w:r>
      <w:r>
        <w:rPr>
          <w:sz w:val="20"/>
          <w:szCs w:val="20"/>
          <w:color w:val="auto"/>
        </w:rPr>
        <w:tab/>
      </w:r>
      <w:r>
        <w:rPr>
          <w:rFonts w:ascii="Times New Roman" w:cs="Times New Roman" w:eastAsia="Times New Roman" w:hAnsi="Times New Roman"/>
          <w:sz w:val="18"/>
          <w:szCs w:val="18"/>
          <w:color w:val="auto"/>
        </w:rPr>
        <w:t>Indonesia</w:t>
      </w:r>
    </w:p>
    <w:p>
      <w:pPr>
        <w:spacing w:after="0" w:line="27" w:lineRule="exact"/>
        <w:rPr>
          <w:sz w:val="20"/>
          <w:szCs w:val="20"/>
          <w:color w:val="auto"/>
        </w:rPr>
      </w:pPr>
    </w:p>
    <w:p>
      <w:pPr>
        <w:ind w:left="3880"/>
        <w:spacing w:after="0"/>
        <w:tabs>
          <w:tab w:leader="none" w:pos="6680" w:val="left"/>
        </w:tabs>
        <w:rPr>
          <w:sz w:val="20"/>
          <w:szCs w:val="20"/>
          <w:color w:val="auto"/>
        </w:rPr>
      </w:pPr>
      <w:r>
        <w:rPr>
          <w:rFonts w:ascii="Times New Roman" w:cs="Times New Roman" w:eastAsia="Times New Roman" w:hAnsi="Times New Roman"/>
          <w:sz w:val="18"/>
          <w:szCs w:val="18"/>
          <w:color w:val="auto"/>
        </w:rPr>
        <w:t>Switzerland</w:t>
      </w:r>
      <w:r>
        <w:rPr>
          <w:sz w:val="20"/>
          <w:szCs w:val="20"/>
          <w:color w:val="auto"/>
        </w:rPr>
        <w:tab/>
      </w:r>
      <w:r>
        <w:rPr>
          <w:rFonts w:ascii="Times New Roman" w:cs="Times New Roman" w:eastAsia="Times New Roman" w:hAnsi="Times New Roman"/>
          <w:sz w:val="18"/>
          <w:szCs w:val="18"/>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356616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162560"/>
                    </a:xfrm>
                    <a:prstGeom prst="rect">
                      <a:avLst/>
                    </a:prstGeom>
                    <a:noFill/>
                  </pic:spPr>
                </pic:pic>
              </a:graphicData>
            </a:graphic>
          </wp:anchor>
        </w:drawing>
      </w:r>
    </w:p>
    <w:p>
      <w:pPr>
        <w:spacing w:after="0" w:line="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40005</wp:posOffset>
            </wp:positionV>
            <wp:extent cx="3566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59" w:right="419"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324" w:lineRule="exact"/>
        <w:rPr>
          <w:sz w:val="20"/>
          <w:szCs w:val="20"/>
          <w:color w:val="auto"/>
        </w:rPr>
      </w:pPr>
    </w:p>
    <w:p>
      <w:pPr>
        <w:ind w:left="660" w:right="200"/>
        <w:spacing w:after="0"/>
        <w:rPr>
          <w:sz w:val="20"/>
          <w:szCs w:val="20"/>
          <w:color w:val="auto"/>
        </w:rPr>
      </w:pPr>
      <w:r>
        <w:rPr>
          <w:rFonts w:ascii="Times New Roman" w:cs="Times New Roman" w:eastAsia="Times New Roman" w:hAnsi="Times New Roman"/>
          <w:sz w:val="18"/>
          <w:szCs w:val="18"/>
          <w:color w:val="auto"/>
        </w:rPr>
        <w:t>The Company regularly assesses the adequacy of its provisions for income tax contingencies in accordance with the applicable authoritative guidance on accounting for income taxes. As a result, the Company may adjust the reserves for unrecognized tax benefits due to the impact of changes in its assumptions or as a result of new facts and developments, such as changes to interpretations of relevant tax law, assessments from taxing authorities, settlements with taxing authorities and lapses of statutes of limitation.</w:t>
      </w:r>
    </w:p>
    <w:p>
      <w:pPr>
        <w:spacing w:after="0" w:line="225"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In accordance with its accounting policy, the Company recognizes accrued interest and penalties related to unrecognized benefits as a component of income tax expense.</w:t>
      </w:r>
    </w:p>
    <w:p>
      <w:pPr>
        <w:spacing w:after="0" w:line="18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(OBBB) Act, which includes a broad range of tax reform provisions, was signed into law in the United States. We do not expect the Act to have a material impact.</w:t>
      </w:r>
    </w:p>
    <w:p>
      <w:pPr>
        <w:spacing w:after="0" w:line="15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25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values inventory at the lower of cost (determined using the first-in first-out method) or net realizable value. Inventories at the end of the respective periods consisted of the following:</w:t>
      </w:r>
    </w:p>
    <w:p>
      <w:pPr>
        <w:spacing w:after="0" w:line="308"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3440" w:type="dxa"/>
            <w:vAlign w:val="bottom"/>
            <w:tcBorders>
              <w:top w:val="single" w:sz="8" w:color="auto"/>
            </w:tcBorders>
          </w:tcPr>
          <w:p>
            <w:pPr>
              <w:spacing w:after="0"/>
              <w:rPr>
                <w:sz w:val="17"/>
                <w:szCs w:val="17"/>
                <w:color w:val="auto"/>
              </w:rPr>
            </w:pPr>
          </w:p>
        </w:tc>
        <w:tc>
          <w:tcPr>
            <w:tcW w:w="25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April 3,</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October 3,</w:t>
            </w: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March 28,</w:t>
            </w:r>
          </w:p>
        </w:tc>
      </w:tr>
      <w:tr>
        <w:trPr>
          <w:trHeight w:val="250"/>
        </w:trPr>
        <w:tc>
          <w:tcPr>
            <w:tcW w:w="344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96,172</w:t>
            </w:r>
          </w:p>
        </w:tc>
      </w:tr>
      <w:tr>
        <w:trPr>
          <w:trHeight w:val="237"/>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95,153</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79,733</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83,885</w:t>
            </w:r>
          </w:p>
        </w:tc>
      </w:tr>
      <w:tr>
        <w:trPr>
          <w:trHeight w:val="255"/>
        </w:trPr>
        <w:tc>
          <w:tcPr>
            <w:tcW w:w="3440" w:type="dxa"/>
            <w:vAlign w:val="bottom"/>
            <w:tcBorders>
              <w:bottom w:val="single" w:sz="8" w:color="auto"/>
            </w:tcBorders>
            <w:shd w:val="clear" w:color="auto" w:fill="CCEEFF"/>
          </w:tcPr>
          <w:p>
            <w:pPr>
              <w:spacing w:after="0"/>
              <w:rPr>
                <w:sz w:val="21"/>
                <w:szCs w:val="21"/>
                <w:color w:val="auto"/>
              </w:rPr>
            </w:pPr>
          </w:p>
        </w:tc>
        <w:tc>
          <w:tcPr>
            <w:tcW w:w="25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170,726</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180,057</w:t>
            </w:r>
          </w:p>
        </w:tc>
      </w:tr>
      <w:tr>
        <w:trPr>
          <w:trHeight w:val="20"/>
        </w:trPr>
        <w:tc>
          <w:tcPr>
            <w:tcW w:w="344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goodwill during the six months ended April 3, 2026 and March 28, 2025 were as follows:</w:t>
      </w:r>
    </w:p>
    <w:p>
      <w:pPr>
        <w:spacing w:after="0" w:line="372" w:lineRule="exact"/>
        <w:rPr>
          <w:sz w:val="20"/>
          <w:szCs w:val="20"/>
          <w:color w:val="auto"/>
        </w:rPr>
      </w:pPr>
    </w:p>
    <w:tbl>
      <w:tblPr>
        <w:tblLayout w:type="fixed"/>
        <w:tblInd w:w="660" w:type="dxa"/>
        <w:tblCellMar>
          <w:top w:w="0" w:type="dxa"/>
          <w:left w:w="0" w:type="dxa"/>
          <w:bottom w:w="0" w:type="dxa"/>
          <w:right w:w="0" w:type="dxa"/>
        </w:tblCellMar>
      </w:tblPr>
      <w:tr>
        <w:trPr>
          <w:trHeight w:val="263"/>
        </w:trPr>
        <w:tc>
          <w:tcPr>
            <w:tcW w:w="52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April 3, 2026</w:t>
            </w:r>
          </w:p>
        </w:tc>
        <w:tc>
          <w:tcPr>
            <w:tcW w:w="24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March 28, 2025</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10,231</w:t>
            </w:r>
          </w:p>
        </w:tc>
      </w:tr>
      <w:tr>
        <w:trPr>
          <w:trHeight w:val="236"/>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attributable to movements in foreign currency rates</w:t>
            </w:r>
          </w:p>
        </w:tc>
        <w:tc>
          <w:tcPr>
            <w:tcW w:w="1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30"/>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10,638</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9,890</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The goodwill at April 3, 2026 relates to the acquisition of Endless Summer Technologies Proprietary, Ltd. in the Company's Diving segment. See Note 18 below for additional information on this acquisition.</w:t>
      </w:r>
    </w:p>
    <w:p>
      <w:pPr>
        <w:spacing w:after="0" w:line="189" w:lineRule="exact"/>
        <w:rPr>
          <w:sz w:val="20"/>
          <w:szCs w:val="20"/>
          <w:color w:val="auto"/>
        </w:rPr>
      </w:pPr>
    </w:p>
    <w:p>
      <w:pPr>
        <w:ind w:left="660" w:right="80"/>
        <w:spacing w:after="0" w:line="258" w:lineRule="auto"/>
        <w:rPr>
          <w:sz w:val="20"/>
          <w:szCs w:val="20"/>
          <w:color w:val="auto"/>
        </w:rPr>
      </w:pPr>
      <w:r>
        <w:rPr>
          <w:rFonts w:ascii="Times New Roman" w:cs="Times New Roman" w:eastAsia="Times New Roman" w:hAnsi="Times New Roman"/>
          <w:sz w:val="18"/>
          <w:szCs w:val="18"/>
          <w:color w:val="auto"/>
        </w:rPr>
        <w:t>The Company evaluates the carrying value of goodwill for a reporting unit on an annual basis or more frequently when events and circumstances warrant such an evaluation. In conducting this analysis, the Company uses the income approach to compare the reporting unit's carrying value to its indicated fair value. Fair value is determined primarily by using a discounted cash flow methodology that requires considerable management judgment and long-term assumptions and is considered a Level 3 (unobservable) fair value determination in the fair value hierarchy (see Note 12) below.</w:t>
      </w:r>
    </w:p>
    <w:p>
      <w:pPr>
        <w:spacing w:after="0" w:line="20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WARRANTIES</w:t>
      </w:r>
    </w:p>
    <w:p>
      <w:pPr>
        <w:spacing w:after="0" w:line="229"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The Company provides warranties on certain of its products as they are sold. The following table summarizes the Company’s warranty activity for the six months ended April 3, 2026 and March 28, 2025.</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200" w:lineRule="exact"/>
        <w:rPr>
          <w:sz w:val="20"/>
          <w:szCs w:val="20"/>
          <w:color w:val="auto"/>
        </w:rPr>
      </w:pPr>
    </w:p>
    <w:p>
      <w:pPr>
        <w:spacing w:after="0" w:line="243" w:lineRule="exact"/>
        <w:rPr>
          <w:sz w:val="20"/>
          <w:szCs w:val="20"/>
          <w:color w:val="auto"/>
        </w:rPr>
      </w:pPr>
    </w:p>
    <w:tbl>
      <w:tblPr>
        <w:tblLayout w:type="fixed"/>
        <w:tblInd w:w="660" w:type="dxa"/>
        <w:tblCellMar>
          <w:top w:w="0" w:type="dxa"/>
          <w:left w:w="0" w:type="dxa"/>
          <w:bottom w:w="0" w:type="dxa"/>
          <w:right w:w="0" w:type="dxa"/>
        </w:tblCellMar>
      </w:tblPr>
      <w:tr>
        <w:trPr>
          <w:trHeight w:val="264"/>
        </w:trPr>
        <w:tc>
          <w:tcPr>
            <w:tcW w:w="51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April 3, 2026</w:t>
            </w:r>
          </w:p>
        </w:tc>
        <w:tc>
          <w:tcPr>
            <w:tcW w:w="22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March 28, 2025</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accruals for warranties issued during the period</w:t>
            </w:r>
          </w:p>
        </w:tc>
        <w:tc>
          <w:tcPr>
            <w:tcW w:w="1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w:t>
            </w:r>
          </w:p>
        </w:tc>
      </w:tr>
      <w:tr>
        <w:trPr>
          <w:trHeight w:val="237"/>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period warranty claims paid</w:t>
            </w:r>
          </w:p>
        </w:tc>
        <w:tc>
          <w:tcPr>
            <w:tcW w:w="12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2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r>
      <w:tr>
        <w:trPr>
          <w:trHeight w:val="23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15,142</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12,066</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10</w:t>
        <w:tab/>
        <w:t>CONTINGENCIES</w:t>
      </w:r>
    </w:p>
    <w:p>
      <w:pPr>
        <w:spacing w:after="0" w:line="256" w:lineRule="exact"/>
        <w:rPr>
          <w:sz w:val="20"/>
          <w:szCs w:val="20"/>
          <w:color w:val="auto"/>
        </w:rPr>
      </w:pPr>
    </w:p>
    <w:p>
      <w:pPr>
        <w:ind w:left="660" w:right="60"/>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legal actions and proceedings in the normal course of business, including those related to commercial disputes, product liability, intellectual property and regulatory matters. The Company is insured against loss for certain of these matters. Although litigation is subject to many uncertainties and the ultimate exposure with respect to these matters cannot be ascertained, management does not believe the final outcome of any pending litigation will have a material adverse effect on the financial condition, results of operations, liquidity or cash flows of the Company.</w:t>
      </w:r>
    </w:p>
    <w:p>
      <w:pPr>
        <w:spacing w:after="0" w:line="20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INDEBTEDNESS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no debt outstanding at April 3, 2026, October 3, 2025, or March 28, 2025.</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Revolver</w:t>
      </w:r>
    </w:p>
    <w:p>
      <w:pPr>
        <w:spacing w:after="0" w:line="31" w:lineRule="exact"/>
        <w:rPr>
          <w:sz w:val="20"/>
          <w:szCs w:val="20"/>
          <w:color w:val="auto"/>
        </w:rPr>
      </w:pPr>
    </w:p>
    <w:p>
      <w:pPr>
        <w:ind w:left="660"/>
        <w:spacing w:after="0" w:line="252" w:lineRule="auto"/>
        <w:rPr>
          <w:sz w:val="20"/>
          <w:szCs w:val="20"/>
          <w:color w:val="auto"/>
        </w:rPr>
      </w:pPr>
      <w:r>
        <w:rPr>
          <w:rFonts w:ascii="Times New Roman" w:cs="Times New Roman" w:eastAsia="Times New Roman" w:hAnsi="Times New Roman"/>
          <w:sz w:val="18"/>
          <w:szCs w:val="18"/>
          <w:color w:val="auto"/>
        </w:rPr>
        <w:t>The Company and certain of its subsidiaries entered into an unsecured credit facility with PNC Bank National Association and Associated Bank, N.A. ("the Lending Group"). This credit facility consisted of a $75 million Revolving Credit Facility among the Company, certain of the Company’s subsidiaries, PNC Bank National Association, as lender and as administrative agent, and the other lender named therein (as amended, the “Credit Agreement” or “Revolver”). The Revolver provides for borrowing of up to an aggregate principal amount not to exceed $75,000 with a $50,000 accordion feature that gave the Company the option to request an increase of the maximum financing availability (i.e., an aggregate borrowing amount of $125,000) subject to the conditions of the Credit Agreement and subject to the approval of the lenders.</w:t>
      </w:r>
    </w:p>
    <w:p>
      <w:pPr>
        <w:spacing w:after="0" w:line="217"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On July 15, 2021, the Company entered into a First Amendment to this credit facility that extended its expiration date from November 15, 2022, to July 15, 2026. On January 29, 2025, the Company entered into a Second Amendment to this credit facility that reduced the Revolver to $50,000 (but maintained the accordion feature) and modified the terms of the Credit Agreement.</w:t>
      </w:r>
    </w:p>
    <w:p>
      <w:pPr>
        <w:spacing w:after="0" w:line="203" w:lineRule="exact"/>
        <w:rPr>
          <w:sz w:val="20"/>
          <w:szCs w:val="20"/>
          <w:color w:val="auto"/>
        </w:rPr>
      </w:pPr>
    </w:p>
    <w:p>
      <w:pPr>
        <w:ind w:left="660" w:right="180"/>
        <w:spacing w:after="0" w:line="258" w:lineRule="auto"/>
        <w:rPr>
          <w:sz w:val="20"/>
          <w:szCs w:val="20"/>
          <w:color w:val="auto"/>
        </w:rPr>
      </w:pPr>
      <w:r>
        <w:rPr>
          <w:rFonts w:ascii="Times New Roman" w:cs="Times New Roman" w:eastAsia="Times New Roman" w:hAnsi="Times New Roman"/>
          <w:sz w:val="18"/>
          <w:szCs w:val="18"/>
          <w:color w:val="auto"/>
        </w:rPr>
        <w:t>Effective as of December 9, 2025, the Company and certain of its subsidiaries entered into a Second Amended and Restated Credit Agreement which amends and restates the Company’s Amended and Restated Credit Agreement dated as of November 15, 2017, as previously amended effective July 15, 2021 and January 29, 2025, among the Company, certain of the Company’s subsidiaries named therein, PNC Bank, National Association, as lender and as administrative agent, PNC Capital Markets LLC, as sole lead arranger and bookrunner, and the other lender named therein. The material provisions of the new Credit Agreement are as follows:</w:t>
      </w:r>
    </w:p>
    <w:p>
      <w:pPr>
        <w:spacing w:after="0" w:line="210" w:lineRule="exact"/>
        <w:rPr>
          <w:sz w:val="20"/>
          <w:szCs w:val="20"/>
          <w:color w:val="auto"/>
        </w:rPr>
      </w:pPr>
    </w:p>
    <w:p>
      <w:pPr>
        <w:ind w:left="1300" w:right="80" w:hanging="320"/>
        <w:spacing w:after="0" w:line="261"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Credit Agreement provides for borrowings of up to an aggregate principal amount not to exceed $50 million through December 9, 2029 (i.e., the maturity date), including letter of credit and swingline borrowing sublimits of $10 million each;</w:t>
      </w:r>
    </w:p>
    <w:p>
      <w:pPr>
        <w:ind w:left="1300" w:right="160" w:hanging="320"/>
        <w:spacing w:after="0" w:line="250"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the new Credit Agreement are secured generally by substantially all of the personal property of the Company and the subsidiary borrowers. The new credit facility requires springing borrowing base certificate requirements if the availability under the facility is less than $25 million;</w:t>
      </w:r>
    </w:p>
    <w:p>
      <w:pPr>
        <w:spacing w:after="0" w:line="1" w:lineRule="exact"/>
        <w:rPr>
          <w:rFonts w:ascii="Times New Roman" w:cs="Times New Roman" w:eastAsia="Times New Roman" w:hAnsi="Times New Roman"/>
          <w:sz w:val="18"/>
          <w:szCs w:val="18"/>
          <w:color w:val="auto"/>
        </w:rPr>
      </w:pPr>
    </w:p>
    <w:p>
      <w:pPr>
        <w:ind w:left="1300" w:right="120" w:hanging="320"/>
        <w:spacing w:after="0" w:line="250"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Credit Agreement provides the Company with the option to request additional increases in the revolving credit facility for an additional aggregate amount of $50 million (i.e., an aggregate borrowing amount of $100 million) subject to the conditions of the Credit Agreement and subject to the approval of the Lenders;</w:t>
      </w:r>
    </w:p>
    <w:p>
      <w:pPr>
        <w:spacing w:after="0" w:line="1" w:lineRule="exact"/>
        <w:rPr>
          <w:rFonts w:ascii="Times New Roman" w:cs="Times New Roman" w:eastAsia="Times New Roman" w:hAnsi="Times New Roman"/>
          <w:sz w:val="18"/>
          <w:szCs w:val="18"/>
          <w:color w:val="auto"/>
        </w:rPr>
      </w:pPr>
    </w:p>
    <w:p>
      <w:pPr>
        <w:ind w:left="1300" w:right="40" w:hanging="320"/>
        <w:spacing w:after="0" w:line="253"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is payable under the new Credit Agreement, at the Company’s option, based upon an overnight bank rate, SOFR or the prime rate plus an applicable margin and it resets the interest rate calculation at the Company’s option on an either one, three or six month basis by instituting an applicable margin based on the Company’s net leverage ratio (net of up to $25 million in unrestricted cash and cash equivalents on hand) for the trailing twelve month period. The applicable SOFR margin ranges from 1.25 percent to 2.00 percent;</w:t>
      </w:r>
    </w:p>
    <w:p>
      <w:pPr>
        <w:spacing w:after="0" w:line="32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337" w:lineRule="exact"/>
        <w:rPr>
          <w:sz w:val="20"/>
          <w:szCs w:val="20"/>
          <w:color w:val="auto"/>
        </w:rPr>
      </w:pPr>
    </w:p>
    <w:p>
      <w:pPr>
        <w:ind w:left="1300" w:right="120" w:hanging="320"/>
        <w:spacing w:after="0" w:line="261"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Credit Agreement requires the Company to maintain a net leverage ratio of less than 3:00 to 1.00 and an interest coverage ratio of not less than 3.50 : 1.00, each tested on a quarterly basis; and</w:t>
      </w:r>
    </w:p>
    <w:p>
      <w:pPr>
        <w:ind w:left="1300" w:right="320" w:hanging="320"/>
        <w:spacing w:after="0" w:line="260"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Credit Agreement restricts the Company’s ability to incur additional debt and engage in certain asset or stock acquisitions or dispositions and includes maximum leverage ratio and minimum interest coverage ratio covenants.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interest rates on the Revolver at April 3, 2026 and March 28, 2025 were approximately 4.8% and 5.4%, respectively.</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Borrowings</w:t>
      </w:r>
    </w:p>
    <w:p>
      <w:pPr>
        <w:spacing w:after="0" w:line="31"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had no unsecured revolving credit facilities at its foreign subsidiaries as of April 3, 2026 or March 28, 2025. The Company utilizes letters of credit primarily as security for the payment of future claims under its workers’ compensation insurance, which totaled approximately $51 and $67 as of April 3, 2026 and March 28, 2025, respectively.</w:t>
      </w:r>
    </w:p>
    <w:p>
      <w:pPr>
        <w:spacing w:after="0" w:line="200" w:lineRule="exact"/>
        <w:rPr>
          <w:sz w:val="20"/>
          <w:szCs w:val="20"/>
          <w:color w:val="auto"/>
        </w:rPr>
      </w:pPr>
    </w:p>
    <w:p>
      <w:pPr>
        <w:spacing w:after="0" w:line="25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56"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has been established based on three levels of inputs, of which the first two are considered observable and the last unobservable.</w:t>
      </w:r>
    </w:p>
    <w:p>
      <w:pPr>
        <w:spacing w:after="0" w:line="207" w:lineRule="exact"/>
        <w:rPr>
          <w:sz w:val="20"/>
          <w:szCs w:val="20"/>
          <w:color w:val="auto"/>
        </w:rPr>
      </w:pPr>
    </w:p>
    <w:p>
      <w:pPr>
        <w:ind w:left="1300" w:right="700" w:hanging="644"/>
        <w:spacing w:after="0" w:line="28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 These are typically obtained from real-time quotes for transactions in active exchange markets involving identical assets or liabilities.</w:t>
      </w:r>
    </w:p>
    <w:p>
      <w:pPr>
        <w:spacing w:after="0" w:line="188" w:lineRule="exact"/>
        <w:rPr>
          <w:rFonts w:ascii="Times New Roman" w:cs="Times New Roman" w:eastAsia="Times New Roman" w:hAnsi="Times New Roman"/>
          <w:sz w:val="18"/>
          <w:szCs w:val="18"/>
          <w:color w:val="auto"/>
        </w:rPr>
      </w:pPr>
    </w:p>
    <w:p>
      <w:pPr>
        <w:ind w:left="1300" w:right="600" w:hanging="644"/>
        <w:spacing w:after="0" w:line="28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which are observable for the asset or liability, either directly or indirectly. These are typically obtained from readily-available pricing sources for comparable instruments.</w:t>
      </w:r>
    </w:p>
    <w:p>
      <w:pPr>
        <w:spacing w:after="0" w:line="188" w:lineRule="exact"/>
        <w:rPr>
          <w:rFonts w:ascii="Times New Roman" w:cs="Times New Roman" w:eastAsia="Times New Roman" w:hAnsi="Times New Roman"/>
          <w:sz w:val="18"/>
          <w:szCs w:val="18"/>
          <w:color w:val="auto"/>
        </w:rPr>
      </w:pPr>
    </w:p>
    <w:p>
      <w:pPr>
        <w:ind w:left="1300" w:right="380" w:hanging="644"/>
        <w:spacing w:after="0" w:line="266"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where there is little or no market activity for the asset or liability. These inputs reflect the reporting entity’s own assumptions of the data that market participants would use in pricing the asset or liability, based on the best information available in the circumstances.</w:t>
      </w:r>
    </w:p>
    <w:p>
      <w:pPr>
        <w:spacing w:after="0" w:line="203" w:lineRule="exact"/>
        <w:rPr>
          <w:sz w:val="20"/>
          <w:szCs w:val="20"/>
          <w:color w:val="auto"/>
        </w:rPr>
      </w:pPr>
    </w:p>
    <w:p>
      <w:pPr>
        <w:ind w:left="660" w:right="180"/>
        <w:spacing w:after="0" w:line="250" w:lineRule="auto"/>
        <w:rPr>
          <w:sz w:val="20"/>
          <w:szCs w:val="20"/>
          <w:color w:val="auto"/>
        </w:rPr>
      </w:pPr>
      <w:r>
        <w:rPr>
          <w:rFonts w:ascii="Times New Roman" w:cs="Times New Roman" w:eastAsia="Times New Roman" w:hAnsi="Times New Roman"/>
          <w:sz w:val="18"/>
          <w:szCs w:val="18"/>
          <w:color w:val="auto"/>
        </w:rPr>
        <w:t>The carrying amounts of accounts receivable, accounts payable and accrued expenses approximated their fair values at April 3, 2026, October 3, 2025 and March 28, 2025 due to the short term maturities of these instruments. See Note 13 for discussion of fair value of cash and cash equivalents. When indicators of impairment are present, the Company may be required to value certain long-lived assets such as property, plant, and equipment, and other intangibles at their fair value.</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Valuation Techniques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Rabbi Trust Assets</w:t>
      </w:r>
    </w:p>
    <w:p>
      <w:pPr>
        <w:spacing w:after="0" w:line="29" w:lineRule="exact"/>
        <w:rPr>
          <w:sz w:val="20"/>
          <w:szCs w:val="20"/>
          <w:color w:val="auto"/>
        </w:rPr>
      </w:pPr>
    </w:p>
    <w:p>
      <w:pPr>
        <w:ind w:left="660" w:right="40"/>
        <w:spacing w:after="0" w:line="269" w:lineRule="auto"/>
        <w:rPr>
          <w:sz w:val="20"/>
          <w:szCs w:val="20"/>
          <w:color w:val="auto"/>
        </w:rPr>
      </w:pPr>
      <w:r>
        <w:rPr>
          <w:rFonts w:ascii="Times New Roman" w:cs="Times New Roman" w:eastAsia="Times New Roman" w:hAnsi="Times New Roman"/>
          <w:sz w:val="17"/>
          <w:szCs w:val="17"/>
          <w:color w:val="auto"/>
        </w:rPr>
        <w:t>Rabbi trust assets are classified as trading securities and are comprised of marketable debt and equity securities that are marked to fair value based on unadjusted quoted prices in active markets. The rabbi trust assets are used to fund amounts the Company owes to certain officers and other employees under the Company’s non-qualified deferred compensation plan. These assets are reported as "Deferred compensation plan assets" in the accompanying Condensed Consolidated Balance Sheets, and the mark to market adjustments on the assets are recorded in “Other income, net” in the accompanying Condensed Consolidated Statements of Operations. The offsetting deferred compensation liability is also reported at fair value as "Deferred compensation liability" in the accompanying Condensed Consolidated Balance Sheets. Changes in the liability are recorded in "Administrative management, finance and information systems" expense in the accompanying Condensed Consolidated Statements of Operations.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29" w:lineRule="exact"/>
        <w:rPr>
          <w:sz w:val="20"/>
          <w:szCs w:val="20"/>
          <w:color w:val="auto"/>
        </w:rPr>
      </w:pPr>
    </w:p>
    <w:p>
      <w:pPr>
        <w:ind w:left="660" w:right="120"/>
        <w:spacing w:after="0" w:line="255" w:lineRule="auto"/>
        <w:rPr>
          <w:sz w:val="20"/>
          <w:szCs w:val="20"/>
          <w:color w:val="auto"/>
        </w:rPr>
      </w:pPr>
      <w:r>
        <w:rPr>
          <w:rFonts w:ascii="Times New Roman" w:cs="Times New Roman" w:eastAsia="Times New Roman" w:hAnsi="Times New Roman"/>
          <w:sz w:val="18"/>
          <w:szCs w:val="18"/>
          <w:color w:val="auto"/>
        </w:rPr>
        <w:t>Marketable securities are classified as available-for-sale, with fair values determined using significant other observable inputs, which include quoted prices in markets that are not active, quoted prices of similar securities, recently executed transactions, broker quotations, and other inputs that are observable.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measured at fair value as of April 3, 2026:</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660" w:type="dxa"/>
        <w:tblCellMar>
          <w:top w:w="0" w:type="dxa"/>
          <w:left w:w="0" w:type="dxa"/>
          <w:bottom w:w="0" w:type="dxa"/>
          <w:right w:w="0" w:type="dxa"/>
        </w:tblCellMar>
      </w:tblPr>
      <w:tr>
        <w:trPr>
          <w:trHeight w:val="263"/>
        </w:trPr>
        <w:tc>
          <w:tcPr>
            <w:tcW w:w="44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13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Level 3</w:t>
            </w:r>
          </w:p>
        </w:tc>
        <w:tc>
          <w:tcPr>
            <w:tcW w:w="6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Rabbi trust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1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28,991</w:t>
            </w:r>
          </w:p>
        </w:tc>
      </w:tr>
      <w:tr>
        <w:trPr>
          <w:trHeight w:val="229"/>
        </w:trPr>
        <w:tc>
          <w:tcPr>
            <w:tcW w:w="4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1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28,991</w:t>
            </w: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measured at fair value as of October 3, 2025:</w:t>
      </w:r>
    </w:p>
    <w:p>
      <w:pPr>
        <w:spacing w:after="0" w:line="345" w:lineRule="exact"/>
        <w:rPr>
          <w:sz w:val="20"/>
          <w:szCs w:val="20"/>
          <w:color w:val="auto"/>
        </w:rPr>
      </w:pPr>
    </w:p>
    <w:tbl>
      <w:tblPr>
        <w:tblLayout w:type="fixed"/>
        <w:tblInd w:w="660" w:type="dxa"/>
        <w:tblCellMar>
          <w:top w:w="0" w:type="dxa"/>
          <w:left w:w="0" w:type="dxa"/>
          <w:bottom w:w="0" w:type="dxa"/>
          <w:right w:w="0" w:type="dxa"/>
        </w:tblCellMar>
      </w:tblPr>
      <w:tr>
        <w:trPr>
          <w:trHeight w:val="263"/>
        </w:trPr>
        <w:tc>
          <w:tcPr>
            <w:tcW w:w="44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13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Level 3</w:t>
            </w:r>
          </w:p>
        </w:tc>
        <w:tc>
          <w:tcPr>
            <w:tcW w:w="6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Rabbi trust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1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30,681</w:t>
            </w:r>
          </w:p>
        </w:tc>
      </w:tr>
      <w:tr>
        <w:trPr>
          <w:trHeight w:val="229"/>
        </w:trPr>
        <w:tc>
          <w:tcPr>
            <w:tcW w:w="4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1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30,681</w:t>
            </w: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measured at fair value as of March 28, 2025:</w:t>
      </w:r>
    </w:p>
    <w:p>
      <w:pPr>
        <w:spacing w:after="0" w:line="345" w:lineRule="exact"/>
        <w:rPr>
          <w:sz w:val="20"/>
          <w:szCs w:val="20"/>
          <w:color w:val="auto"/>
        </w:rPr>
      </w:pPr>
    </w:p>
    <w:tbl>
      <w:tblPr>
        <w:tblLayout w:type="fixed"/>
        <w:tblInd w:w="660" w:type="dxa"/>
        <w:tblCellMar>
          <w:top w:w="0" w:type="dxa"/>
          <w:left w:w="0" w:type="dxa"/>
          <w:bottom w:w="0" w:type="dxa"/>
          <w:right w:w="0" w:type="dxa"/>
        </w:tblCellMar>
      </w:tblPr>
      <w:tr>
        <w:trPr>
          <w:trHeight w:val="263"/>
        </w:trPr>
        <w:tc>
          <w:tcPr>
            <w:tcW w:w="44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Rabbi trust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27,396</w:t>
            </w:r>
          </w:p>
        </w:tc>
      </w:tr>
      <w:tr>
        <w:trPr>
          <w:trHeight w:val="229"/>
        </w:trPr>
        <w:tc>
          <w:tcPr>
            <w:tcW w:w="4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31,711</w:t>
            </w:r>
          </w:p>
        </w:tc>
      </w:tr>
    </w:tbl>
    <w:p>
      <w:pPr>
        <w:spacing w:after="0" w:line="319"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The effect of changes in the fair value of financial instruments on the accompanying Condensed Consolidated Statements of Operations for the three and six month periods ended April 3, 2026 and March 28, 2025 was:</w:t>
      </w:r>
    </w:p>
    <w:p>
      <w:pPr>
        <w:spacing w:after="0" w:line="295" w:lineRule="exact"/>
        <w:rPr>
          <w:sz w:val="20"/>
          <w:szCs w:val="20"/>
          <w:color w:val="auto"/>
        </w:rPr>
      </w:pPr>
    </w:p>
    <w:tbl>
      <w:tblPr>
        <w:tblLayout w:type="fixed"/>
        <w:tblInd w:w="640" w:type="dxa"/>
        <w:tblCellMar>
          <w:top w:w="0" w:type="dxa"/>
          <w:left w:w="0" w:type="dxa"/>
          <w:bottom w:w="0" w:type="dxa"/>
          <w:right w:w="0" w:type="dxa"/>
        </w:tblCellMar>
      </w:tblPr>
      <w:tr>
        <w:trPr>
          <w:trHeight w:val="263"/>
        </w:trPr>
        <w:tc>
          <w:tcPr>
            <w:tcW w:w="1620" w:type="dxa"/>
            <w:vAlign w:val="bottom"/>
            <w:tcBorders>
              <w:top w:val="single" w:sz="8" w:color="auto"/>
            </w:tcBorders>
          </w:tcPr>
          <w:p>
            <w:pPr>
              <w:spacing w:after="0"/>
              <w:rPr>
                <w:sz w:val="22"/>
                <w:szCs w:val="22"/>
                <w:color w:val="auto"/>
              </w:rPr>
            </w:pPr>
          </w:p>
        </w:tc>
        <w:tc>
          <w:tcPr>
            <w:tcW w:w="304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56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620" w:type="dxa"/>
            <w:vAlign w:val="bottom"/>
            <w:tcBorders>
              <w:top w:val="single" w:sz="8" w:color="auto"/>
              <w:bottom w:val="single" w:sz="8" w:color="auto"/>
            </w:tcBorders>
          </w:tcPr>
          <w:p>
            <w:pPr>
              <w:spacing w:after="0"/>
              <w:rPr>
                <w:sz w:val="22"/>
                <w:szCs w:val="22"/>
                <w:color w:val="auto"/>
              </w:rPr>
            </w:pPr>
          </w:p>
        </w:tc>
      </w:tr>
      <w:tr>
        <w:trPr>
          <w:trHeight w:val="400"/>
        </w:trPr>
        <w:tc>
          <w:tcPr>
            <w:tcW w:w="1620" w:type="dxa"/>
            <w:vAlign w:val="bottom"/>
          </w:tcPr>
          <w:p>
            <w:pPr>
              <w:spacing w:after="0"/>
              <w:rPr>
                <w:sz w:val="24"/>
                <w:szCs w:val="24"/>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Location of income recognized in</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4"/>
        </w:trPr>
        <w:tc>
          <w:tcPr>
            <w:tcW w:w="1620" w:type="dxa"/>
            <w:vAlign w:val="bottom"/>
            <w:tcBorders>
              <w:bottom w:val="single" w:sz="8" w:color="CCEEFF"/>
            </w:tcBorders>
          </w:tcPr>
          <w:p>
            <w:pPr>
              <w:spacing w:after="0"/>
              <w:rPr>
                <w:sz w:val="20"/>
                <w:szCs w:val="20"/>
                <w:color w:val="auto"/>
              </w:rPr>
            </w:pPr>
          </w:p>
        </w:tc>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Statement of Operations</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April 3, 2026</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March 28, 2025</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April 3, 2026</w:t>
            </w: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March 28, 2025</w:t>
            </w:r>
          </w:p>
        </w:tc>
      </w:tr>
      <w:tr>
        <w:trPr>
          <w:trHeight w:val="248"/>
        </w:trPr>
        <w:tc>
          <w:tcPr>
            <w:tcW w:w="1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Rabbi trust assets</w:t>
            </w:r>
          </w:p>
        </w:tc>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(1,277)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r>
      <w:tr>
        <w:trPr>
          <w:trHeight w:val="20"/>
        </w:trPr>
        <w:tc>
          <w:tcPr>
            <w:tcW w:w="162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There were no assets or liabilities measured at fair value on a non-recurring basis in periods subsequent to their initial recognition for either of the six month periods ended April 3, 2026 or March 28, 2025.</w:t>
      </w:r>
    </w:p>
    <w:p>
      <w:pPr>
        <w:spacing w:after="0" w:line="1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CASH, CASH EQUIVALENTS, AND MARKETABLE SECURITIES</w:t>
      </w:r>
    </w:p>
    <w:p>
      <w:pPr>
        <w:spacing w:after="0" w:line="243"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in interest bearing accounts and all securities and other instruments with an original maturity of three months or less to be cash equivalents. Cash equivalents are stated at cost which approximates market value.</w:t>
      </w:r>
    </w:p>
    <w:p>
      <w:pPr>
        <w:spacing w:after="0" w:line="189" w:lineRule="exact"/>
        <w:rPr>
          <w:sz w:val="20"/>
          <w:szCs w:val="20"/>
          <w:color w:val="auto"/>
        </w:rPr>
      </w:pPr>
    </w:p>
    <w:p>
      <w:pPr>
        <w:ind w:left="660" w:right="80"/>
        <w:spacing w:after="0" w:line="250" w:lineRule="auto"/>
        <w:rPr>
          <w:sz w:val="20"/>
          <w:szCs w:val="20"/>
          <w:color w:val="auto"/>
        </w:rPr>
      </w:pPr>
      <w:r>
        <w:rPr>
          <w:rFonts w:ascii="Times New Roman" w:cs="Times New Roman" w:eastAsia="Times New Roman" w:hAnsi="Times New Roman"/>
          <w:sz w:val="18"/>
          <w:szCs w:val="18"/>
          <w:color w:val="auto"/>
        </w:rPr>
        <w:t>The Company has classified all marketable securities as available-for-sale which requires the securities to be reported at estimated fair value, with unrealized gains and losses, net of tax, reported as a separate component of accumulated other comprehensive income in the Condensed Consolidated Statements of Shareholders' Equity.</w:t>
      </w:r>
    </w:p>
    <w:p>
      <w:pPr>
        <w:spacing w:after="0" w:line="204" w:lineRule="exact"/>
        <w:rPr>
          <w:sz w:val="20"/>
          <w:szCs w:val="20"/>
          <w:color w:val="auto"/>
        </w:rPr>
      </w:pPr>
    </w:p>
    <w:p>
      <w:pPr>
        <w:ind w:left="660"/>
        <w:spacing w:after="0" w:line="232" w:lineRule="auto"/>
        <w:rPr>
          <w:sz w:val="20"/>
          <w:szCs w:val="20"/>
          <w:color w:val="auto"/>
        </w:rPr>
      </w:pPr>
      <w:r>
        <w:rPr>
          <w:rFonts w:ascii="Times New Roman" w:cs="Times New Roman" w:eastAsia="Times New Roman" w:hAnsi="Times New Roman"/>
          <w:sz w:val="18"/>
          <w:szCs w:val="18"/>
          <w:color w:val="auto"/>
        </w:rPr>
        <w:t>Cost for marketable securities is determined using the specific identification method. A summary of the amortized costs and fair values of the Company’s marketable securities at the end of the period presented is shown in the following table. All of the Company’s marketable securities are classified as Level 2, as defined by FASB ASC 820, with fair values determined using significant other observable inputs, which include quoted prices in markets that are not active, quoted prices of similar securities, recently executed transactions, broker quotations, and other inputs that are observable.</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200" w:lineRule="exact"/>
        <w:rPr>
          <w:sz w:val="20"/>
          <w:szCs w:val="20"/>
          <w:color w:val="auto"/>
        </w:rPr>
      </w:pPr>
    </w:p>
    <w:p>
      <w:pPr>
        <w:spacing w:after="0" w:line="380" w:lineRule="exact"/>
        <w:rPr>
          <w:sz w:val="20"/>
          <w:szCs w:val="20"/>
          <w:color w:val="auto"/>
        </w:rPr>
      </w:pPr>
    </w:p>
    <w:p>
      <w:pPr>
        <w:ind w:left="660" w:right="440"/>
        <w:spacing w:after="0" w:line="282" w:lineRule="auto"/>
        <w:rPr>
          <w:sz w:val="20"/>
          <w:szCs w:val="20"/>
          <w:color w:val="auto"/>
        </w:rPr>
      </w:pPr>
      <w:r>
        <w:rPr>
          <w:rFonts w:ascii="Times New Roman" w:cs="Times New Roman" w:eastAsia="Times New Roman" w:hAnsi="Times New Roman"/>
          <w:sz w:val="18"/>
          <w:szCs w:val="18"/>
          <w:color w:val="auto"/>
        </w:rPr>
        <w:t>There were no marketable securities held as of April 3, 2026 or October 3, 2025. The following table summarizes the Company’s marketable securities measured at fair value as of March 28, 2025:</w:t>
      </w:r>
    </w:p>
    <w:p>
      <w:pPr>
        <w:spacing w:after="0" w:line="52" w:lineRule="exact"/>
        <w:rPr>
          <w:sz w:val="20"/>
          <w:szCs w:val="20"/>
          <w:color w:val="auto"/>
        </w:rPr>
      </w:pPr>
    </w:p>
    <w:tbl>
      <w:tblPr>
        <w:tblLayout w:type="fixed"/>
        <w:tblInd w:w="660" w:type="dxa"/>
        <w:tblCellMar>
          <w:top w:w="0" w:type="dxa"/>
          <w:left w:w="0" w:type="dxa"/>
          <w:bottom w:w="0" w:type="dxa"/>
          <w:right w:w="0" w:type="dxa"/>
        </w:tblCellMar>
      </w:tblPr>
      <w:tr>
        <w:trPr>
          <w:trHeight w:val="211"/>
        </w:trPr>
        <w:tc>
          <w:tcPr>
            <w:tcW w:w="4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Gross unrealized</w:t>
            </w:r>
          </w:p>
        </w:tc>
        <w:tc>
          <w:tcPr>
            <w:tcW w:w="1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Gross unrealized</w:t>
            </w:r>
          </w:p>
        </w:tc>
      </w:tr>
      <w:tr>
        <w:trPr>
          <w:trHeight w:val="241"/>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Amortized Cost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Fair Value</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gains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losses</w:t>
            </w:r>
          </w:p>
        </w:tc>
      </w:tr>
      <w:tr>
        <w:trPr>
          <w:trHeight w:val="230"/>
        </w:trPr>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rate Canadian Government Bonds</w:t>
            </w: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line="289" w:lineRule="auto"/>
        <w:rPr>
          <w:sz w:val="20"/>
          <w:szCs w:val="20"/>
          <w:color w:val="auto"/>
        </w:rPr>
      </w:pPr>
      <w:r>
        <w:rPr>
          <w:rFonts w:ascii="Times New Roman" w:cs="Times New Roman" w:eastAsia="Times New Roman" w:hAnsi="Times New Roman"/>
          <w:sz w:val="17"/>
          <w:szCs w:val="17"/>
          <w:color w:val="auto"/>
        </w:rPr>
        <w:t>There were no purchases or sales of available-for-sale securities during the six month periods ended April 3, 2026 or March 28, 2025, respectively. Proceeds from the maturities of available-for-sale securities were $0 and $11,826 for the six month period ended April 3, 2026 and March 28, 2025, respectively. No unrealized gains or losses were reclassified out of accumulated other comprehensive income during the same periods.</w:t>
      </w:r>
    </w:p>
    <w:p>
      <w:pPr>
        <w:spacing w:after="0" w:line="185"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At March 28, 2025, contractual maturities were all within one year from the period end and therefore were classified as Short term investments on the accompanying Condensed Consolidated Balance Sheets.</w:t>
      </w:r>
    </w:p>
    <w:p>
      <w:pPr>
        <w:spacing w:after="0" w:line="1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14</w:t>
        <w:tab/>
        <w:t>NEW ACCOUNTING PRONOUNCEMENTS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41" w:lineRule="exact"/>
        <w:rPr>
          <w:sz w:val="20"/>
          <w:szCs w:val="20"/>
          <w:color w:val="auto"/>
        </w:rPr>
      </w:pPr>
    </w:p>
    <w:p>
      <w:pPr>
        <w:ind w:left="660" w:right="40"/>
        <w:spacing w:after="0" w:line="23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ASU 2023-07 is intended to improve the disclosures about a public entity's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reportable segments and address requests from investors for additional, more detailed information about a reportable segment's expenses. The amendments in this ASU do not change how a public entity identifies its operating segments, aggregates those operating segments, or applies the quantitative thresholds to determine its reportable segments. The amendments to this standard apply to all public entities that are required to report segment information in accordance with Topic 280, Segment Reporting and are effective for fiscal years beginning after December 15, 2023, and interim periods within fiscal years beginning after December 15, 2024. The Company adopted this guidance for the year ending October 3, 2025 and subsequent interim periods. The adoption of this standard did not impact the Company’s results of operations or financial position. See Note 16 </w:t>
      </w:r>
      <w:r>
        <w:rPr>
          <w:rFonts w:ascii="Times New Roman" w:cs="Times New Roman" w:eastAsia="Times New Roman" w:hAnsi="Times New Roman"/>
          <w:sz w:val="18"/>
          <w:szCs w:val="18"/>
          <w:i w:val="1"/>
          <w:iCs w:val="1"/>
          <w:color w:val="auto"/>
        </w:rPr>
        <w:t>Segments of Business</w:t>
      </w:r>
      <w:r>
        <w:rPr>
          <w:rFonts w:ascii="Times New Roman" w:cs="Times New Roman" w:eastAsia="Times New Roman" w:hAnsi="Times New Roman"/>
          <w:sz w:val="18"/>
          <w:szCs w:val="18"/>
          <w:color w:val="auto"/>
        </w:rPr>
        <w:t xml:space="preserve"> for the new disclosures required by the standard.</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41" w:lineRule="exact"/>
        <w:rPr>
          <w:sz w:val="20"/>
          <w:szCs w:val="20"/>
          <w:color w:val="auto"/>
        </w:rPr>
      </w:pPr>
    </w:p>
    <w:p>
      <w:pPr>
        <w:ind w:left="660" w:right="140"/>
        <w:spacing w:after="0" w:line="23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Contract Assets </w:t>
      </w:r>
      <w:r>
        <w:rPr>
          <w:rFonts w:ascii="Times New Roman" w:cs="Times New Roman" w:eastAsia="Times New Roman" w:hAnsi="Times New Roman"/>
          <w:sz w:val="18"/>
          <w:szCs w:val="18"/>
          <w:color w:val="auto"/>
        </w:rPr>
        <w:t>(Topic 326). The update permits entities to elect a practical expedient for estimating expected credit losses on current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receivables and current contract assets by assuming that conditions existing at the balance sheet date will remain unchanged over the life of those assets. The updated standard is effective for fiscal years beginning after December 15, 2025, including interim periods within those fiscal years, with early adoption permitted. The Company is currently assessing the impact of the amendment to this standard on its consolidated financial statements.</w:t>
      </w:r>
    </w:p>
    <w:p>
      <w:pPr>
        <w:spacing w:after="0" w:line="213" w:lineRule="exact"/>
        <w:rPr>
          <w:sz w:val="20"/>
          <w:szCs w:val="20"/>
          <w:color w:val="auto"/>
        </w:rPr>
      </w:pPr>
    </w:p>
    <w:p>
      <w:pPr>
        <w:ind w:left="660" w:right="20"/>
        <w:spacing w:after="0"/>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2024-03 is intended to improve disclosures about a public business entity's expenses and provide more detailed information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investors about the types of expenses in commonly presented expense captions. In January 2025, the FASB issued ASU No. 2025-01,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 Reporting Comprehensive Income - Expense Disaggregation Disclosures (Subtopic 220-40) Clarifying the Effective Date</w:t>
      </w:r>
      <w:r>
        <w:rPr>
          <w:rFonts w:ascii="Times New Roman" w:cs="Times New Roman" w:eastAsia="Times New Roman" w:hAnsi="Times New Roman"/>
          <w:sz w:val="18"/>
          <w:szCs w:val="18"/>
          <w:color w:val="auto"/>
        </w:rPr>
        <w:t>,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intended to clarify the effective date of ASU No. 2024-03. As clarified in ASU 2025-01, the new guidance is effective for annual reporting periods beginning after December 15, 2026 with early adoption permitted. While we anticipate that the adoption of this standard will require additional disclosures, the Company is currently assessing the impact of the amendment to this standard on its consolidated financial statements.</w:t>
      </w:r>
    </w:p>
    <w:p>
      <w:pPr>
        <w:spacing w:after="0" w:line="225" w:lineRule="exact"/>
        <w:rPr>
          <w:sz w:val="20"/>
          <w:szCs w:val="20"/>
          <w:color w:val="auto"/>
        </w:rPr>
      </w:pPr>
    </w:p>
    <w:p>
      <w:pPr>
        <w:ind w:left="660" w:right="1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is intended to enhance the transparency and decision usefulness of income tax disclosures. The amendments in this ASU are effective for the Company in fiscal 2026 on a prospective basis, with early adoption permitted. The Company is currently evaluating the impacts of ASU 2023-09 on its income tax disclosures. Adoption is expected to result in expanded qualitative and quantitative disclosures in the Company’s annual financial statements,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337"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including increased disaggregation within the effective tax rate reconciliation and additional detail related to income taxes paid by jurisdiction. The Company does not expect the adoption of ASU 2023-09 to have a material impact on its consolidated financial position, results of operations, or cash flows.</w:t>
      </w:r>
    </w:p>
    <w:p>
      <w:pPr>
        <w:spacing w:after="0" w:line="187" w:lineRule="exact"/>
        <w:rPr>
          <w:sz w:val="20"/>
          <w:szCs w:val="20"/>
          <w:color w:val="auto"/>
        </w:rPr>
      </w:pPr>
    </w:p>
    <w:p>
      <w:pPr>
        <w:ind w:left="660" w:right="80"/>
        <w:spacing w:after="0" w:line="237"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Update and Simplification Initiative. </w:t>
      </w:r>
      <w:r>
        <w:rPr>
          <w:rFonts w:ascii="Times New Roman" w:cs="Times New Roman" w:eastAsia="Times New Roman" w:hAnsi="Times New Roman"/>
          <w:sz w:val="18"/>
          <w:szCs w:val="18"/>
          <w:color w:val="auto"/>
        </w:rPr>
        <w:t>This ASU covers a variety of codification topics, and the effective date for each amendment will be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which the SEC's removal of that related disclosure from Regulation S-X or Regulation S-K becomes effective, with early adoption prohibited. For all entities within the scope of the affected Codification subtopics, if, by June 30, 2027, the SEC has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removed the applicable requirement from Regulation S-X or Regulation S-K, the pending content of the associated amendment will be removed from the Codification and will not become effective for any entities. The Company will monitor the removal of various requirements from the current regulations to determine when to adopt the related amendments, but it does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anticipate that the adoption of the new guidance will have a material impact on the Company’s consolidated financial statements and related disclosures.</w:t>
      </w:r>
    </w:p>
    <w:p>
      <w:pPr>
        <w:spacing w:after="0" w:line="28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297"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Revenue is recognized when obligations under the terms of a contract with our customer are satisfied; generally this occurs with the transfer of control of our goods at a point in time based on shipping terms and transfer of title. Revenue is measured as the amount of consideration we expect to receive in exchange for transferring goods. The amount of consideration received can vary, primarily because of customer incentive or rebate arrangements. The Company estimates variable consideration based on the expected value of total consideration to which customers are likely to be entitled based on historical experience and projected market expectations. Included in the estimate is an assessment as to whether any variable consideration is constrained. Revenue estimates are adjusted at the earlier of a change in the expected value of consideration or when the consideration becomes fixed. For all contracts with customers, the Company has not adjusted the promised amount of consideration for the effects of a significant financing component as the period between the transfer of the promised goods and the customer's payment is expected to be one year or less. Sales are made on normal and customary short-term credit terms, generally ranging from 30 to 90 days, or upon delivery of point of sale transactions. Sales, value add, and other taxes we collect concurrent with revenue-producing activities are excluded from revenue.</w:t>
      </w:r>
    </w:p>
    <w:p>
      <w:pPr>
        <w:spacing w:after="0" w:line="221"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The Company enters into contractual arrangements with customers in the form of individual customer orders which specify the goods, quantity, pricing, and associated order terms. The Company does not have contracts which are satisfied over time. Due to the nature of these contracts, no significant judgment exists in relation to the identification of the customer contract, satisfaction of the performance obligation, or transaction price. The Company expenses incremental costs of obtaining a contract due to the short-term nature of the contracts.</w:t>
      </w:r>
    </w:p>
    <w:p>
      <w:pPr>
        <w:spacing w:after="0" w:line="207" w:lineRule="exact"/>
        <w:rPr>
          <w:sz w:val="20"/>
          <w:szCs w:val="20"/>
          <w:color w:val="auto"/>
        </w:rPr>
      </w:pPr>
    </w:p>
    <w:p>
      <w:pPr>
        <w:jc w:val="both"/>
        <w:ind w:left="660" w:right="40"/>
        <w:spacing w:after="0" w:line="258" w:lineRule="auto"/>
        <w:rPr>
          <w:sz w:val="20"/>
          <w:szCs w:val="20"/>
          <w:color w:val="auto"/>
        </w:rPr>
      </w:pPr>
      <w:r>
        <w:rPr>
          <w:rFonts w:ascii="Times New Roman" w:cs="Times New Roman" w:eastAsia="Times New Roman" w:hAnsi="Times New Roman"/>
          <w:sz w:val="18"/>
          <w:szCs w:val="18"/>
          <w:color w:val="auto"/>
        </w:rPr>
        <w:t xml:space="preserve">Estimated costs of returns, allowances and discounts, based on historic experience, are accrued as a reduction to sales when revenue is recognized. The Company provides customers the right to return eligible products under certain circumstances. At April 3, 2026, the right to returns asset was $1,447 and the accrued returns liability was $3,782. At March 28, 2025, the right to returns asset was $1,615 and the accrued returns liability was $4,283. The Company also offers assurance-type warranties relating to its products sold to end customers that continue to be accounted for under ASC 460 </w:t>
      </w:r>
      <w:r>
        <w:rPr>
          <w:rFonts w:ascii="Times New Roman" w:cs="Times New Roman" w:eastAsia="Times New Roman" w:hAnsi="Times New Roman"/>
          <w:sz w:val="18"/>
          <w:szCs w:val="18"/>
          <w:i w:val="1"/>
          <w:iCs w:val="1"/>
          <w:color w:val="auto"/>
        </w:rPr>
        <w:t>Guarantees.</w:t>
      </w:r>
    </w:p>
    <w:p>
      <w:pPr>
        <w:spacing w:after="0" w:line="210" w:lineRule="exact"/>
        <w:rPr>
          <w:sz w:val="20"/>
          <w:szCs w:val="20"/>
          <w:color w:val="auto"/>
        </w:rPr>
      </w:pPr>
    </w:p>
    <w:p>
      <w:pPr>
        <w:ind w:left="660" w:right="180"/>
        <w:spacing w:after="0" w:line="258" w:lineRule="auto"/>
        <w:rPr>
          <w:sz w:val="20"/>
          <w:szCs w:val="20"/>
          <w:color w:val="auto"/>
        </w:rPr>
      </w:pPr>
      <w:r>
        <w:rPr>
          <w:rFonts w:ascii="Times New Roman" w:cs="Times New Roman" w:eastAsia="Times New Roman" w:hAnsi="Times New Roman"/>
          <w:sz w:val="18"/>
          <w:szCs w:val="18"/>
          <w:color w:val="auto"/>
        </w:rPr>
        <w:t>The Company accounts for shipping and handling activities as a fulfillment activity, consistent with the timing of revenue recognition; that is, when a customer takes control of the transferred goods. In the event that a customer were to take control of a product upon or after shipment, the Company has made an accounting policy election to treat such shipping and handling activities as a fulfillment cost. Shipping and handling fees billed to customers are included in "Net Sales," and shipping and handling costs are recognized within "Marketing and selling expenses" in the same period the related revenue is recognized.</w:t>
      </w:r>
    </w:p>
    <w:p>
      <w:pPr>
        <w:spacing w:after="0" w:line="210" w:lineRule="exact"/>
        <w:rPr>
          <w:sz w:val="20"/>
          <w:szCs w:val="20"/>
          <w:color w:val="auto"/>
        </w:rPr>
      </w:pPr>
    </w:p>
    <w:p>
      <w:pPr>
        <w:ind w:left="660" w:right="400"/>
        <w:spacing w:after="0" w:line="266" w:lineRule="auto"/>
        <w:rPr>
          <w:sz w:val="20"/>
          <w:szCs w:val="20"/>
          <w:color w:val="auto"/>
        </w:rPr>
      </w:pPr>
      <w:r>
        <w:rPr>
          <w:rFonts w:ascii="Times New Roman" w:cs="Times New Roman" w:eastAsia="Times New Roman" w:hAnsi="Times New Roman"/>
          <w:sz w:val="18"/>
          <w:szCs w:val="18"/>
          <w:color w:val="auto"/>
        </w:rPr>
        <w:t>The Company has a wide variety of seasonal, outdoor recreation products used primarily for fishing from a boat, diving, paddling, hiking and camping, that are sold to a variety of customers in multiple end markets. The revenue recognition policies are similar among all the various products sold by the Company.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16 for required disclosures of disaggregated revenue.</w:t>
      </w:r>
    </w:p>
    <w:p>
      <w:pPr>
        <w:spacing w:after="0" w:line="24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16</w:t>
        <w:tab/>
        <w:t>SEGMENTS OF BUSINESS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337" w:lineRule="exact"/>
        <w:rPr>
          <w:sz w:val="20"/>
          <w:szCs w:val="20"/>
          <w:color w:val="auto"/>
        </w:rPr>
      </w:pPr>
    </w:p>
    <w:p>
      <w:pPr>
        <w:ind w:left="620" w:right="240"/>
        <w:spacing w:after="0" w:line="282" w:lineRule="auto"/>
        <w:rPr>
          <w:sz w:val="20"/>
          <w:szCs w:val="20"/>
          <w:color w:val="auto"/>
        </w:rPr>
      </w:pPr>
      <w:r>
        <w:rPr>
          <w:rFonts w:ascii="Times New Roman" w:cs="Times New Roman" w:eastAsia="Times New Roman" w:hAnsi="Times New Roman"/>
          <w:sz w:val="18"/>
          <w:szCs w:val="18"/>
          <w:color w:val="auto"/>
        </w:rPr>
        <w:t>The Company conducts its worldwide operations through separate business segments, each of which represents major product lines. Operations are conducted in the United States and various foreign countries, primarily in Europe, Canada and the Pacific Basin.</w:t>
      </w:r>
    </w:p>
    <w:p>
      <w:pPr>
        <w:spacing w:after="0" w:line="189" w:lineRule="exact"/>
        <w:rPr>
          <w:sz w:val="20"/>
          <w:szCs w:val="20"/>
          <w:color w:val="auto"/>
        </w:rPr>
      </w:pPr>
    </w:p>
    <w:p>
      <w:pPr>
        <w:ind w:left="620" w:right="100"/>
        <w:spacing w:after="0" w:line="254" w:lineRule="auto"/>
        <w:rPr>
          <w:sz w:val="20"/>
          <w:szCs w:val="20"/>
          <w:color w:val="auto"/>
        </w:rPr>
      </w:pPr>
      <w:r>
        <w:rPr>
          <w:rFonts w:ascii="Times New Roman" w:cs="Times New Roman" w:eastAsia="Times New Roman" w:hAnsi="Times New Roman"/>
          <w:sz w:val="18"/>
          <w:szCs w:val="18"/>
          <w:color w:val="auto"/>
        </w:rPr>
        <w:t>The Company’s Chief Executive Officer, who has been identified as the chief operating decision maker, "CODM," primarily uses operating profit as the measure of profit or loss to assess segment performance and allocate resources. Operating profit represents net sales less cost of goods sold and operating expenses. Net Sales are directly attributed to each segment. Segment operating expenses include operating expenses directly attributable to the segment, as well as certain shared corporate administration and other costs which are allocated to the segments in a reasonable manner considering the specific facts and circumstances of the expenses being allocated. The CODM evaluates segment profitability based on operating profit (loss) because it provides key insights to operational leverage and other key operational metrics for each segment. Additionally, segment operating profit (loss) is used in the annual budgeting and forecasting process, and budget-to-actual and forecast-to-actual variances are considered when determining how resources should be allocated to each segment.</w:t>
      </w:r>
    </w:p>
    <w:p>
      <w:pPr>
        <w:spacing w:after="0" w:line="219" w:lineRule="exact"/>
        <w:rPr>
          <w:sz w:val="20"/>
          <w:szCs w:val="20"/>
          <w:color w:val="auto"/>
        </w:rPr>
      </w:pPr>
    </w:p>
    <w:p>
      <w:pPr>
        <w:jc w:val="both"/>
        <w:ind w:left="620"/>
        <w:spacing w:after="0" w:line="266" w:lineRule="auto"/>
        <w:rPr>
          <w:sz w:val="20"/>
          <w:szCs w:val="20"/>
          <w:color w:val="auto"/>
        </w:rPr>
      </w:pPr>
      <w:r>
        <w:rPr>
          <w:rFonts w:ascii="Times New Roman" w:cs="Times New Roman" w:eastAsia="Times New Roman" w:hAnsi="Times New Roman"/>
          <w:sz w:val="18"/>
          <w:szCs w:val="18"/>
          <w:color w:val="auto"/>
        </w:rPr>
        <w:t>Net sales and operating profit include both sales to customers, as reported in the Company’s accompanying Condensed Consolidated Statements of Operations, and interunit transfers, which are priced to recover cost plus an appropriate profit margin. Total assets represent assets that are used in the Company’s operations in each business segment at the end of the periods presented.</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 summary of the Company’s operations by business segment is presented below:</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259" w:right="339"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90"/>
              <w:spacing w:after="0" w:line="202" w:lineRule="exact"/>
              <w:rPr>
                <w:sz w:val="20"/>
                <w:szCs w:val="20"/>
                <w:color w:val="auto"/>
              </w:rPr>
            </w:pPr>
            <w:r>
              <w:rPr>
                <w:rFonts w:ascii="Times New Roman" w:cs="Times New Roman" w:eastAsia="Times New Roman" w:hAnsi="Times New Roman"/>
                <w:sz w:val="18"/>
                <w:szCs w:val="18"/>
                <w:color w:val="auto"/>
                <w:w w:val="99"/>
              </w:rPr>
              <w:t>Camping &amp;</w:t>
            </w: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April 3, 2026</w:t>
            </w: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8"/>
              </w:rPr>
              <w:t>Watercraft</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Fishing</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Recreation</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Diving</w:t>
            </w:r>
          </w:p>
        </w:tc>
        <w:tc>
          <w:tcPr>
            <w:tcW w:w="14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Other/Corporate</w:t>
            </w: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Unaffiliated customers</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158,586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18,039</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17,315</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194,480</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Interunit transfers</w:t>
            </w: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(453)</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tcPr>
          <w:p>
            <w:pPr>
              <w:spacing w:after="0"/>
              <w:rPr>
                <w:sz w:val="19"/>
                <w:szCs w:val="19"/>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159,025</w:t>
            </w:r>
          </w:p>
        </w:tc>
        <w:tc>
          <w:tcPr>
            <w:tcW w:w="12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18,053</w:t>
            </w:r>
          </w:p>
        </w:tc>
        <w:tc>
          <w:tcPr>
            <w:tcW w:w="34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17,315</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194,480</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101,578</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10,295</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7,152</w:t>
            </w: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118,992</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Pr>
          <w:p>
            <w:pPr>
              <w:spacing w:after="0"/>
              <w:rPr>
                <w:sz w:val="19"/>
                <w:szCs w:val="19"/>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57,447</w:t>
            </w:r>
          </w:p>
        </w:tc>
        <w:tc>
          <w:tcPr>
            <w:tcW w:w="12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7,758</w:t>
            </w:r>
          </w:p>
        </w:tc>
        <w:tc>
          <w:tcPr>
            <w:tcW w:w="34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10,163</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120</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75,488</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29,430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5,149</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6,231</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2,457</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43,267</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Administrative management, finance and information</w:t>
            </w: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systems expense</w:t>
            </w:r>
          </w:p>
        </w:tc>
        <w:tc>
          <w:tcPr>
            <w:tcW w:w="440" w:type="dxa"/>
            <w:vAlign w:val="bottom"/>
          </w:tcPr>
          <w:p>
            <w:pPr>
              <w:spacing w:after="0"/>
              <w:rPr>
                <w:sz w:val="21"/>
                <w:szCs w:val="21"/>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2,865</w:t>
            </w:r>
          </w:p>
        </w:tc>
        <w:tc>
          <w:tcPr>
            <w:tcW w:w="12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1,113</w:t>
            </w:r>
          </w:p>
        </w:tc>
        <w:tc>
          <w:tcPr>
            <w:tcW w:w="34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2,895</w:t>
            </w:r>
          </w:p>
        </w:tc>
        <w:tc>
          <w:tcPr>
            <w:tcW w:w="4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6,432</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13,305</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6,447</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708</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1,273</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139</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18,705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788</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(8,908)</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3,727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403</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331</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537</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(4,751)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(207)</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(1,202)</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(end of period)</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354,372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72,581</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93,782</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97,538</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618,273</w:t>
            </w:r>
          </w:p>
        </w:tc>
        <w:tc>
          <w:tcPr>
            <w:tcW w:w="0" w:type="dxa"/>
            <w:vAlign w:val="bottom"/>
          </w:tcPr>
          <w:p>
            <w:pPr>
              <w:spacing w:after="0"/>
              <w:rPr>
                <w:sz w:val="1"/>
                <w:szCs w:val="1"/>
                <w:color w:val="auto"/>
              </w:rPr>
            </w:pPr>
          </w:p>
        </w:tc>
      </w:tr>
      <w:tr>
        <w:trPr>
          <w:trHeight w:val="264"/>
        </w:trPr>
        <w:tc>
          <w:tcPr>
            <w:tcW w:w="41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9"/>
              </w:rPr>
              <w:t>Camping &amp;</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28, 2025</w:t>
            </w: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8"/>
              </w:rPr>
              <w:t>Watercraft</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auto"/>
            </w:tcBorders>
            <w:vMerge w:val="continue"/>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Fishing</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Recreation</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Diving</w:t>
            </w:r>
          </w:p>
        </w:tc>
        <w:tc>
          <w:tcPr>
            <w:tcW w:w="146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Other/Corporate</w:t>
            </w:r>
          </w:p>
        </w:tc>
        <w:tc>
          <w:tcPr>
            <w:tcW w:w="4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Unaffiliated customers</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134,462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17,826</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15,814</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247</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168,349</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Interunit transfers</w:t>
            </w: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(461)</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tcPr>
          <w:p>
            <w:pPr>
              <w:spacing w:after="0"/>
              <w:rPr>
                <w:sz w:val="19"/>
                <w:szCs w:val="19"/>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134,891</w:t>
            </w:r>
          </w:p>
        </w:tc>
        <w:tc>
          <w:tcPr>
            <w:tcW w:w="12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17,852</w:t>
            </w:r>
          </w:p>
        </w:tc>
        <w:tc>
          <w:tcPr>
            <w:tcW w:w="34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15,820</w:t>
            </w:r>
          </w:p>
        </w:tc>
        <w:tc>
          <w:tcPr>
            <w:tcW w:w="44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(214)</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168,349</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93,196</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10,051</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6,524</w:t>
            </w: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(288)</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109,483</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Pr>
          <w:p>
            <w:pPr>
              <w:spacing w:after="0"/>
              <w:rPr>
                <w:sz w:val="19"/>
                <w:szCs w:val="19"/>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41,695</w:t>
            </w:r>
          </w:p>
        </w:tc>
        <w:tc>
          <w:tcPr>
            <w:tcW w:w="12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7,801</w:t>
            </w:r>
          </w:p>
        </w:tc>
        <w:tc>
          <w:tcPr>
            <w:tcW w:w="34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9,296</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58,866</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22,993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4,771</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4,710</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2,170</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34,644</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Administrative management, finance and information</w:t>
            </w: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systems expense</w:t>
            </w:r>
          </w:p>
        </w:tc>
        <w:tc>
          <w:tcPr>
            <w:tcW w:w="440" w:type="dxa"/>
            <w:vAlign w:val="bottom"/>
          </w:tcPr>
          <w:p>
            <w:pPr>
              <w:spacing w:after="0"/>
              <w:rPr>
                <w:sz w:val="21"/>
                <w:szCs w:val="21"/>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3,036</w:t>
            </w:r>
          </w:p>
        </w:tc>
        <w:tc>
          <w:tcPr>
            <w:tcW w:w="12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1,149</w:t>
            </w:r>
          </w:p>
        </w:tc>
        <w:tc>
          <w:tcPr>
            <w:tcW w:w="34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3,745</w:t>
            </w:r>
          </w:p>
        </w:tc>
        <w:tc>
          <w:tcPr>
            <w:tcW w:w="4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3,305</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11,235</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6,197</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635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1,254</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9,469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1,246</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(5,401)</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3,292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421</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237</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853</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tcPr>
          <w:p>
            <w:pPr>
              <w:spacing w:after="0"/>
              <w:rPr>
                <w:sz w:val="19"/>
                <w:szCs w:val="19"/>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(2,629)</w:t>
            </w:r>
          </w:p>
        </w:tc>
        <w:tc>
          <w:tcPr>
            <w:tcW w:w="12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(233)</w:t>
            </w: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44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(211)</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(end of period)</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359,016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73,171</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90,137</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102,150</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624,474</w:t>
            </w:r>
          </w:p>
        </w:tc>
        <w:tc>
          <w:tcPr>
            <w:tcW w:w="0" w:type="dxa"/>
            <w:vAlign w:val="bottom"/>
          </w:tcPr>
          <w:p>
            <w:pPr>
              <w:spacing w:after="0"/>
              <w:rPr>
                <w:sz w:val="1"/>
                <w:szCs w:val="1"/>
                <w:color w:val="auto"/>
              </w:rPr>
            </w:pPr>
          </w:p>
        </w:tc>
      </w:tr>
      <w:tr>
        <w:trPr>
          <w:trHeight w:val="648"/>
        </w:trPr>
        <w:tc>
          <w:tcPr>
            <w:tcW w:w="4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- 20 -</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90"/>
              <w:spacing w:after="0" w:line="202" w:lineRule="exact"/>
              <w:rPr>
                <w:sz w:val="20"/>
                <w:szCs w:val="20"/>
                <w:color w:val="auto"/>
              </w:rPr>
            </w:pPr>
            <w:r>
              <w:rPr>
                <w:rFonts w:ascii="Times New Roman" w:cs="Times New Roman" w:eastAsia="Times New Roman" w:hAnsi="Times New Roman"/>
                <w:sz w:val="18"/>
                <w:szCs w:val="18"/>
                <w:color w:val="auto"/>
                <w:w w:val="99"/>
              </w:rPr>
              <w:t>Camping &amp;</w:t>
            </w: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April 3, 2026</w:t>
            </w: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8"/>
              </w:rPr>
              <w:t>Watercraft</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Fishing</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Recreation</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Diving</w:t>
            </w:r>
          </w:p>
        </w:tc>
        <w:tc>
          <w:tcPr>
            <w:tcW w:w="14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Other/Corporate</w:t>
            </w: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Unaffiliated customers</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270,732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28,624</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35,289</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335,415</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Interunit transfers</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663</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(693)</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271,395</w:t>
            </w:r>
          </w:p>
        </w:tc>
        <w:tc>
          <w:tcPr>
            <w:tcW w:w="26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28,654</w:t>
            </w:r>
          </w:p>
        </w:tc>
        <w:tc>
          <w:tcPr>
            <w:tcW w:w="34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35,289</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335,415</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175,977</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16,623</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15,816</w:t>
            </w: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(99)</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208,317</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95,418</w:t>
            </w:r>
          </w:p>
        </w:tc>
        <w:tc>
          <w:tcPr>
            <w:tcW w:w="26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12,031</w:t>
            </w:r>
          </w:p>
        </w:tc>
        <w:tc>
          <w:tcPr>
            <w:tcW w:w="34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19,473</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176</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127,098</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51,224</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8,963</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12,113</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4,471</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76,771</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Administrative management, finance and information</w:t>
            </w: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systems expense</w:t>
            </w:r>
          </w:p>
        </w:tc>
        <w:tc>
          <w:tcPr>
            <w:tcW w:w="44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5,565</w:t>
            </w:r>
          </w:p>
        </w:tc>
        <w:tc>
          <w:tcPr>
            <w:tcW w:w="2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2,093</w:t>
            </w:r>
          </w:p>
        </w:tc>
        <w:tc>
          <w:tcPr>
            <w:tcW w:w="34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5,381</w:t>
            </w:r>
          </w:p>
        </w:tc>
        <w:tc>
          <w:tcPr>
            <w:tcW w:w="4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13,422</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26,461</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12,404</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1,305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2,551</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169</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16,429</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26,225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(330)</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(572)</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(17,886)</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7,490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808</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629</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1,170</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(8,490)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(502)</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(1,415)</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(10,496)</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(end of period)</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354,372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72,581</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93,782</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97,538</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618,273</w:t>
            </w:r>
          </w:p>
        </w:tc>
        <w:tc>
          <w:tcPr>
            <w:tcW w:w="0" w:type="dxa"/>
            <w:vAlign w:val="bottom"/>
          </w:tcPr>
          <w:p>
            <w:pPr>
              <w:spacing w:after="0"/>
              <w:rPr>
                <w:sz w:val="1"/>
                <w:szCs w:val="1"/>
                <w:color w:val="auto"/>
              </w:rPr>
            </w:pPr>
          </w:p>
        </w:tc>
      </w:tr>
      <w:tr>
        <w:trPr>
          <w:trHeight w:val="263"/>
        </w:trPr>
        <w:tc>
          <w:tcPr>
            <w:tcW w:w="41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9"/>
              </w:rPr>
              <w:t>Camping &amp;</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March 28, 2025</w:t>
            </w: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8"/>
              </w:rPr>
              <w:t>Watercraft</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auto"/>
            </w:tcBorders>
            <w:vMerge w:val="continue"/>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Fishing</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Recreation</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Diving</w:t>
            </w:r>
          </w:p>
        </w:tc>
        <w:tc>
          <w:tcPr>
            <w:tcW w:w="146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Other/Corporate</w:t>
            </w:r>
          </w:p>
        </w:tc>
        <w:tc>
          <w:tcPr>
            <w:tcW w:w="4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Unaffiliated customers</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216,895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27,269</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31,494</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275,998</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Interunit transfers</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468</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(512)</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217,363</w:t>
            </w:r>
          </w:p>
        </w:tc>
        <w:tc>
          <w:tcPr>
            <w:tcW w:w="26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27,303</w:t>
            </w:r>
          </w:p>
        </w:tc>
        <w:tc>
          <w:tcPr>
            <w:tcW w:w="34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31,504</w:t>
            </w:r>
          </w:p>
        </w:tc>
        <w:tc>
          <w:tcPr>
            <w:tcW w:w="44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(172)</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275,998</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157,068</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14,986</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13,175</w:t>
            </w: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(280)</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184,949</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60,295</w:t>
            </w:r>
          </w:p>
        </w:tc>
        <w:tc>
          <w:tcPr>
            <w:tcW w:w="26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12,317</w:t>
            </w:r>
          </w:p>
        </w:tc>
        <w:tc>
          <w:tcPr>
            <w:tcW w:w="34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18,329</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108</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91,049</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41,514</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8,331</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9,427</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5,756</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65,028</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Administrative management, finance and information</w:t>
            </w: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systems expense</w:t>
            </w:r>
          </w:p>
        </w:tc>
        <w:tc>
          <w:tcPr>
            <w:tcW w:w="44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5,595</w:t>
            </w:r>
          </w:p>
        </w:tc>
        <w:tc>
          <w:tcPr>
            <w:tcW w:w="26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2,160</w:t>
            </w:r>
          </w:p>
        </w:tc>
        <w:tc>
          <w:tcPr>
            <w:tcW w:w="34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7,779</w:t>
            </w:r>
          </w:p>
        </w:tc>
        <w:tc>
          <w:tcPr>
            <w:tcW w:w="4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10,177</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25,711</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11,978</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1,226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2,444</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15,648</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1,208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600</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(1,321)</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(15,825)</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(15,338)</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7,063</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849</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482</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1,647</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(6,275)</w:t>
            </w:r>
          </w:p>
        </w:tc>
        <w:tc>
          <w:tcPr>
            <w:tcW w:w="26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(243)</w:t>
            </w: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(543)</w:t>
            </w:r>
          </w:p>
        </w:tc>
        <w:tc>
          <w:tcPr>
            <w:tcW w:w="44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(317)</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(end of period)</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359,016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73,171</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90,137</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102,150</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Segment Information</w:t>
      </w:r>
    </w:p>
    <w:p>
      <w:pPr>
        <w:spacing w:after="0" w:line="94"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During the three and six month periods ended April 3, 2026, one customer of the Company's Fishing and Camping &amp; Watercraft Recreation segments accounted for more than 10% of the Company's consolidated revenues, which amounted to sales of approximately $49,314 and $79,679, respectively. During the three and six month periods ended March 28, 2025, two customers of the Company's Fishing and Camping &amp; Watercraft Recreation segments each accounted for more than 10% of the Company's consolidated revenues, which amounted to sales of approximately $63,291 and $87,549, respectively.</w:t>
      </w:r>
    </w:p>
    <w:p>
      <w:pPr>
        <w:spacing w:after="0" w:line="20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w:t>
      </w:r>
    </w:p>
    <w:p>
      <w:pPr>
        <w:spacing w:after="0" w:line="256"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Income (“AOCI”) by component, net of tax, for the six months ended April 3, 2026 were as follows: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Foreign</w:t>
            </w:r>
          </w:p>
        </w:tc>
        <w:tc>
          <w:tcPr>
            <w:tcW w:w="1880" w:type="dxa"/>
            <w:vAlign w:val="bottom"/>
            <w:tcBorders>
              <w:top w:val="single" w:sz="8" w:color="auto"/>
            </w:tcBorders>
            <w:gridSpan w:val="2"/>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Unrealized gain (loss)</w:t>
            </w:r>
          </w:p>
        </w:tc>
        <w:tc>
          <w:tcPr>
            <w:tcW w:w="152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Unamortized</w:t>
            </w: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Accumulated</w:t>
            </w: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40" w:type="dxa"/>
            <w:vAlign w:val="bottom"/>
          </w:tcPr>
          <w:p>
            <w:pPr>
              <w:jc w:val="center"/>
              <w:ind w:right="170"/>
              <w:spacing w:after="0" w:line="181" w:lineRule="exact"/>
              <w:rPr>
                <w:sz w:val="20"/>
                <w:szCs w:val="20"/>
                <w:color w:val="auto"/>
              </w:rPr>
            </w:pPr>
            <w:r>
              <w:rPr>
                <w:rFonts w:ascii="Times New Roman" w:cs="Times New Roman" w:eastAsia="Times New Roman" w:hAnsi="Times New Roman"/>
                <w:sz w:val="18"/>
                <w:szCs w:val="18"/>
                <w:color w:val="auto"/>
                <w:w w:val="98"/>
              </w:rPr>
              <w:t>Currency</w:t>
            </w:r>
          </w:p>
        </w:tc>
        <w:tc>
          <w:tcPr>
            <w:tcW w:w="1880" w:type="dxa"/>
            <w:vAlign w:val="bottom"/>
            <w:gridSpan w:val="2"/>
            <w:vMerge w:val="continue"/>
          </w:tcPr>
          <w:p>
            <w:pPr>
              <w:spacing w:after="0"/>
              <w:rPr>
                <w:sz w:val="15"/>
                <w:szCs w:val="15"/>
                <w:color w:val="auto"/>
              </w:rPr>
            </w:pPr>
          </w:p>
        </w:tc>
        <w:tc>
          <w:tcPr>
            <w:tcW w:w="152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9"/>
              </w:rPr>
              <w:t>Loss on Defined</w:t>
            </w:r>
          </w:p>
        </w:tc>
        <w:tc>
          <w:tcPr>
            <w:tcW w:w="200" w:type="dxa"/>
            <w:vAlign w:val="bottom"/>
          </w:tcPr>
          <w:p>
            <w:pPr>
              <w:spacing w:after="0"/>
              <w:rPr>
                <w:sz w:val="15"/>
                <w:szCs w:val="15"/>
                <w:color w:val="auto"/>
              </w:rPr>
            </w:pPr>
          </w:p>
        </w:tc>
        <w:tc>
          <w:tcPr>
            <w:tcW w:w="150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Translation</w:t>
            </w:r>
          </w:p>
        </w:tc>
        <w:tc>
          <w:tcPr>
            <w:tcW w:w="100" w:type="dxa"/>
            <w:vAlign w:val="bottom"/>
          </w:tcPr>
          <w:p>
            <w:pPr>
              <w:spacing w:after="0"/>
              <w:rPr>
                <w:sz w:val="15"/>
                <w:szCs w:val="15"/>
                <w:color w:val="auto"/>
              </w:rPr>
            </w:pPr>
          </w:p>
        </w:tc>
        <w:tc>
          <w:tcPr>
            <w:tcW w:w="178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9"/>
              </w:rPr>
              <w:t>on available-for sale</w:t>
            </w:r>
          </w:p>
        </w:tc>
        <w:tc>
          <w:tcPr>
            <w:tcW w:w="15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Benefit Pension</w:t>
            </w:r>
          </w:p>
        </w:tc>
        <w:tc>
          <w:tcPr>
            <w:tcW w:w="200" w:type="dxa"/>
            <w:vAlign w:val="bottom"/>
          </w:tcPr>
          <w:p>
            <w:pPr>
              <w:spacing w:after="0"/>
              <w:rPr>
                <w:sz w:val="15"/>
                <w:szCs w:val="15"/>
                <w:color w:val="auto"/>
              </w:rPr>
            </w:pPr>
          </w:p>
        </w:tc>
        <w:tc>
          <w:tcPr>
            <w:tcW w:w="150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Adjustment</w:t>
            </w: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securities</w:t>
            </w:r>
          </w:p>
        </w:tc>
        <w:tc>
          <w:tcPr>
            <w:tcW w:w="15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Plans</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Income (Loss)</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 2025</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5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19"/>
                <w:szCs w:val="19"/>
                <w:color w:val="auto"/>
              </w:rPr>
            </w:pPr>
          </w:p>
        </w:tc>
        <w:tc>
          <w:tcPr>
            <w:tcW w:w="17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184"/>
        </w:trPr>
        <w:tc>
          <w:tcPr>
            <w:tcW w:w="41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5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5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effects</w:t>
            </w:r>
          </w:p>
        </w:tc>
        <w:tc>
          <w:tcPr>
            <w:tcW w:w="5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2, 2026</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8,392</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5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19"/>
                <w:szCs w:val="19"/>
                <w:color w:val="auto"/>
              </w:rPr>
            </w:pPr>
          </w:p>
        </w:tc>
        <w:tc>
          <w:tcPr>
            <w:tcW w:w="17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0" w:type="dxa"/>
            <w:vAlign w:val="bottom"/>
          </w:tcPr>
          <w:p>
            <w:pPr>
              <w:spacing w:after="0"/>
              <w:rPr>
                <w:sz w:val="1"/>
                <w:szCs w:val="1"/>
                <w:color w:val="auto"/>
              </w:rPr>
            </w:pPr>
          </w:p>
        </w:tc>
      </w:tr>
      <w:tr>
        <w:trPr>
          <w:trHeight w:val="184"/>
        </w:trPr>
        <w:tc>
          <w:tcPr>
            <w:tcW w:w="41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5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5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effects</w:t>
            </w:r>
          </w:p>
        </w:tc>
        <w:tc>
          <w:tcPr>
            <w:tcW w:w="5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5"/>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3, 2026</w:t>
            </w: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AOCI by component, net of tax, for the six months ended March 28, 2025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center"/>
              <w:ind w:right="190"/>
              <w:spacing w:after="0" w:line="202" w:lineRule="exact"/>
              <w:rPr>
                <w:sz w:val="20"/>
                <w:szCs w:val="20"/>
                <w:color w:val="auto"/>
              </w:rPr>
            </w:pPr>
            <w:r>
              <w:rPr>
                <w:rFonts w:ascii="Times New Roman" w:cs="Times New Roman" w:eastAsia="Times New Roman" w:hAnsi="Times New Roman"/>
                <w:sz w:val="18"/>
                <w:szCs w:val="18"/>
                <w:color w:val="auto"/>
                <w:w w:val="99"/>
              </w:rPr>
              <w:t>Foreign</w:t>
            </w:r>
          </w:p>
        </w:tc>
        <w:tc>
          <w:tcPr>
            <w:tcW w:w="17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Unrealized gain (loss)</w:t>
            </w: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9"/>
              </w:rPr>
              <w:t>Unamortized</w:t>
            </w: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ind w:right="130"/>
              <w:spacing w:after="0" w:line="202" w:lineRule="exact"/>
              <w:rPr>
                <w:sz w:val="20"/>
                <w:szCs w:val="20"/>
                <w:color w:val="auto"/>
              </w:rPr>
            </w:pPr>
            <w:r>
              <w:rPr>
                <w:rFonts w:ascii="Times New Roman" w:cs="Times New Roman" w:eastAsia="Times New Roman" w:hAnsi="Times New Roman"/>
                <w:sz w:val="18"/>
                <w:szCs w:val="18"/>
                <w:color w:val="auto"/>
                <w:w w:val="99"/>
              </w:rPr>
              <w:t>Accumulated</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8"/>
              </w:rPr>
              <w:t>Currency</w:t>
            </w:r>
          </w:p>
        </w:tc>
        <w:tc>
          <w:tcPr>
            <w:tcW w:w="17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Loss on Defined</w:t>
            </w:r>
          </w:p>
        </w:tc>
        <w:tc>
          <w:tcPr>
            <w:tcW w:w="200" w:type="dxa"/>
            <w:vAlign w:val="bottom"/>
          </w:tcPr>
          <w:p>
            <w:pPr>
              <w:spacing w:after="0"/>
              <w:rPr>
                <w:sz w:val="15"/>
                <w:szCs w:val="15"/>
                <w:color w:val="auto"/>
              </w:rPr>
            </w:pPr>
          </w:p>
        </w:tc>
        <w:tc>
          <w:tcPr>
            <w:tcW w:w="150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Translation</w:t>
            </w:r>
          </w:p>
        </w:tc>
        <w:tc>
          <w:tcPr>
            <w:tcW w:w="100" w:type="dxa"/>
            <w:vAlign w:val="bottom"/>
          </w:tcPr>
          <w:p>
            <w:pPr>
              <w:spacing w:after="0"/>
              <w:rPr>
                <w:sz w:val="15"/>
                <w:szCs w:val="15"/>
                <w:color w:val="auto"/>
              </w:rPr>
            </w:pPr>
          </w:p>
        </w:tc>
        <w:tc>
          <w:tcPr>
            <w:tcW w:w="16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on available-for sale</w:t>
            </w:r>
          </w:p>
        </w:tc>
        <w:tc>
          <w:tcPr>
            <w:tcW w:w="180" w:type="dxa"/>
            <w:vAlign w:val="bottom"/>
          </w:tcPr>
          <w:p>
            <w:pPr>
              <w:spacing w:after="0"/>
              <w:rPr>
                <w:sz w:val="15"/>
                <w:szCs w:val="15"/>
                <w:color w:val="auto"/>
              </w:rPr>
            </w:pPr>
          </w:p>
        </w:tc>
        <w:tc>
          <w:tcPr>
            <w:tcW w:w="15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Benefit Pension</w:t>
            </w:r>
          </w:p>
        </w:tc>
        <w:tc>
          <w:tcPr>
            <w:tcW w:w="200" w:type="dxa"/>
            <w:vAlign w:val="bottom"/>
          </w:tcPr>
          <w:p>
            <w:pPr>
              <w:spacing w:after="0"/>
              <w:rPr>
                <w:sz w:val="15"/>
                <w:szCs w:val="15"/>
                <w:color w:val="auto"/>
              </w:rPr>
            </w:pPr>
          </w:p>
        </w:tc>
        <w:tc>
          <w:tcPr>
            <w:tcW w:w="150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Adjustment</w:t>
            </w: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securities</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Plans</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Income (Loss)</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27, 2024</w:t>
            </w: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6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00" w:type="dxa"/>
            <w:vAlign w:val="bottom"/>
          </w:tcPr>
          <w:p>
            <w:pPr>
              <w:spacing w:after="0"/>
              <w:rPr>
                <w:sz w:val="19"/>
                <w:szCs w:val="19"/>
                <w:color w:val="auto"/>
              </w:rPr>
            </w:pPr>
          </w:p>
        </w:tc>
        <w:tc>
          <w:tcPr>
            <w:tcW w:w="16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6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6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effects</w:t>
            </w:r>
          </w:p>
        </w:tc>
        <w:tc>
          <w:tcPr>
            <w:tcW w:w="6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27, 2024</w:t>
            </w: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6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16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6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6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6"/>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effects</w:t>
            </w:r>
          </w:p>
        </w:tc>
        <w:tc>
          <w:tcPr>
            <w:tcW w:w="6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5"/>
        </w:trPr>
        <w:tc>
          <w:tcPr>
            <w:tcW w:w="4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29, 2025</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reclassifications out of AOCI for the three and six months ended April 3, 2026 and March 28, 2025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96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2660" w:type="dxa"/>
            <w:vAlign w:val="bottom"/>
            <w:tcBorders>
              <w:top w:val="single" w:sz="8" w:color="auto"/>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Borders>
              <w:top w:val="single" w:sz="8" w:color="auto"/>
              <w:bottom w:val="single" w:sz="8" w:color="auto"/>
            </w:tcBorders>
          </w:tcPr>
          <w:p>
            <w:pPr>
              <w:spacing w:after="0"/>
              <w:rPr>
                <w:sz w:val="22"/>
                <w:szCs w:val="22"/>
                <w:color w:val="auto"/>
              </w:rPr>
            </w:pPr>
          </w:p>
        </w:tc>
        <w:tc>
          <w:tcPr>
            <w:tcW w:w="2660" w:type="dxa"/>
            <w:vAlign w:val="bottom"/>
            <w:tcBorders>
              <w:top w:val="single" w:sz="8" w:color="auto"/>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Six Months Ended</w:t>
            </w:r>
          </w:p>
        </w:tc>
        <w:tc>
          <w:tcPr>
            <w:tcW w:w="2620" w:type="dxa"/>
            <w:vAlign w:val="bottom"/>
            <w:tcBorders>
              <w:top w:val="single" w:sz="8" w:color="auto"/>
            </w:tcBorders>
          </w:tcPr>
          <w:p>
            <w:pPr>
              <w:spacing w:after="0"/>
              <w:rPr>
                <w:sz w:val="22"/>
                <w:szCs w:val="22"/>
                <w:color w:val="auto"/>
              </w:rPr>
            </w:pPr>
          </w:p>
        </w:tc>
      </w:tr>
      <w:tr>
        <w:trPr>
          <w:trHeight w:val="162"/>
        </w:trPr>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2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Statement of Operations</w:t>
            </w:r>
          </w:p>
        </w:tc>
      </w:tr>
      <w:tr>
        <w:trPr>
          <w:trHeight w:val="250"/>
        </w:trPr>
        <w:tc>
          <w:tcPr>
            <w:tcW w:w="2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April 3, 2026</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7"/>
              </w:rPr>
              <w:t>March 28, 2025</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April 3, 2026</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28, 2025</w:t>
            </w: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Presentation</w:t>
            </w:r>
          </w:p>
        </w:tc>
      </w:tr>
      <w:tr>
        <w:trPr>
          <w:trHeight w:val="175"/>
        </w:trPr>
        <w:tc>
          <w:tcPr>
            <w:tcW w:w="2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Unamortized loss on defined benefit</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24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plans:</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620" w:type="dxa"/>
            <w:vAlign w:val="bottom"/>
            <w:shd w:val="clear" w:color="auto" w:fill="CCEEFF"/>
          </w:tcPr>
          <w:p>
            <w:pPr>
              <w:spacing w:after="0"/>
              <w:rPr>
                <w:sz w:val="21"/>
                <w:szCs w:val="21"/>
                <w:color w:val="auto"/>
              </w:rPr>
            </w:pPr>
          </w:p>
        </w:tc>
      </w:tr>
      <w:tr>
        <w:trPr>
          <w:trHeight w:val="230"/>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21</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w:t>
            </w:r>
          </w:p>
        </w:tc>
      </w:tr>
      <w:tr>
        <w:trPr>
          <w:trHeight w:val="223"/>
        </w:trPr>
        <w:tc>
          <w:tcPr>
            <w:tcW w:w="2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effects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tcBorders>
            <w:shd w:val="clear" w:color="auto" w:fill="CCEEFF"/>
          </w:tcPr>
          <w:p>
            <w:pPr>
              <w:spacing w:after="0"/>
              <w:rPr>
                <w:sz w:val="19"/>
                <w:szCs w:val="19"/>
                <w:color w:val="auto"/>
              </w:rPr>
            </w:pPr>
          </w:p>
        </w:tc>
        <w:tc>
          <w:tcPr>
            <w:tcW w:w="3920" w:type="dxa"/>
            <w:vAlign w:val="bottom"/>
            <w:tcBorders>
              <w:bottom w:val="single" w:sz="8" w:color="auto"/>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(5) Income tax expense</w:t>
            </w:r>
          </w:p>
        </w:tc>
      </w:tr>
      <w:tr>
        <w:trPr>
          <w:trHeight w:val="230"/>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reclassifications for the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16</w:t>
            </w:r>
          </w:p>
        </w:tc>
        <w:tc>
          <w:tcPr>
            <w:tcW w:w="2620" w:type="dxa"/>
            <w:vAlign w:val="bottom"/>
            <w:tcBorders>
              <w:bottom w:val="single" w:sz="8" w:color="auto"/>
            </w:tcBorders>
          </w:tcPr>
          <w:p>
            <w:pPr>
              <w:spacing w:after="0"/>
              <w:rPr>
                <w:sz w:val="19"/>
                <w:szCs w:val="19"/>
                <w:color w:val="auto"/>
              </w:rPr>
            </w:pP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56" w:lineRule="exact"/>
        <w:rPr>
          <w:sz w:val="20"/>
          <w:szCs w:val="20"/>
          <w:color w:val="auto"/>
        </w:rPr>
      </w:pPr>
    </w:p>
    <w:p>
      <w:pPr>
        <w:jc w:val="both"/>
        <w:ind w:left="660" w:right="260"/>
        <w:spacing w:after="0" w:line="266" w:lineRule="auto"/>
        <w:rPr>
          <w:sz w:val="20"/>
          <w:szCs w:val="20"/>
          <w:color w:val="auto"/>
        </w:rPr>
      </w:pPr>
      <w:r>
        <w:rPr>
          <w:rFonts w:ascii="Times New Roman" w:cs="Times New Roman" w:eastAsia="Times New Roman" w:hAnsi="Times New Roman"/>
          <w:sz w:val="18"/>
          <w:szCs w:val="18"/>
          <w:color w:val="auto"/>
        </w:rPr>
        <w:t>On October 25, 2024, the Company acquired all the outstanding common stock of Endless Summer Technologies Proprietary, Ltd ("EST") and related patents and other assets used in EST's business and operations in a purchase transaction with EST's sole shareholder (the "Seller"). EST, based in Durban, South Africa, has been a long term</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337" w:lineRule="exact"/>
        <w:rPr>
          <w:sz w:val="20"/>
          <w:szCs w:val="20"/>
          <w:color w:val="auto"/>
        </w:rPr>
      </w:pPr>
    </w:p>
    <w:p>
      <w:pPr>
        <w:ind w:left="660" w:right="320"/>
        <w:spacing w:after="0" w:line="266" w:lineRule="auto"/>
        <w:rPr>
          <w:sz w:val="20"/>
          <w:szCs w:val="20"/>
          <w:color w:val="auto"/>
        </w:rPr>
      </w:pPr>
      <w:r>
        <w:rPr>
          <w:rFonts w:ascii="Times New Roman" w:cs="Times New Roman" w:eastAsia="Times New Roman" w:hAnsi="Times New Roman"/>
          <w:sz w:val="18"/>
          <w:szCs w:val="18"/>
          <w:color w:val="auto"/>
        </w:rPr>
        <w:t>supplier of products to the Company and it specializes in the design, development and manufacturing of scuba equipment through unique application of existing, new and emerging technologies. The EST acquisition is included in the Company's Diving segment, and is expected to provide new innovative products, unlock synergies and enhance operating efficiencies for the Diving segment.</w:t>
      </w:r>
    </w:p>
    <w:p>
      <w:pPr>
        <w:spacing w:after="0" w:line="189" w:lineRule="exact"/>
        <w:rPr>
          <w:sz w:val="20"/>
          <w:szCs w:val="20"/>
          <w:color w:val="auto"/>
        </w:rPr>
      </w:pPr>
    </w:p>
    <w:p>
      <w:pPr>
        <w:ind w:left="660"/>
        <w:spacing w:after="0" w:line="237" w:lineRule="auto"/>
        <w:rPr>
          <w:sz w:val="20"/>
          <w:szCs w:val="20"/>
          <w:color w:val="auto"/>
        </w:rPr>
      </w:pPr>
      <w:r>
        <w:rPr>
          <w:rFonts w:ascii="Times New Roman" w:cs="Times New Roman" w:eastAsia="Times New Roman" w:hAnsi="Times New Roman"/>
          <w:sz w:val="18"/>
          <w:szCs w:val="18"/>
          <w:color w:val="auto"/>
        </w:rPr>
        <w:t>The approximately $12,197 acquisition cost was funded with existing cash. Approximately $1,650 of the purchase price was paid into segregated escrow accounts which were set aside to fund (1) any potential downward purchase price adjustment tied to cash, debt and net working capital levels as of the closing or (2) potential indemnity claims that may be made by the Company against the Seller in connection with the inaccuracy of certain representations and warranties made by the Seller or related to the breach or nonperformance of certain other actions, agreements or conditions related to the acquisition, for a period of 24 months from the acquisition date. The Company cannot estimate the probability or likelihood of bringing such an indemnity claim against the Seller or any related costs at this time. The remaining escrow balance, if any, net of any indemnity claim then pending, will be released to the Seller once the 24 month period has lapsed.</w:t>
      </w:r>
    </w:p>
    <w:p>
      <w:pPr>
        <w:spacing w:after="0" w:line="216" w:lineRule="exact"/>
        <w:rPr>
          <w:sz w:val="20"/>
          <w:szCs w:val="20"/>
          <w:color w:val="auto"/>
        </w:rPr>
      </w:pPr>
    </w:p>
    <w:p>
      <w:pPr>
        <w:ind w:left="660" w:right="100"/>
        <w:spacing w:after="0" w:line="250" w:lineRule="auto"/>
        <w:rPr>
          <w:sz w:val="20"/>
          <w:szCs w:val="20"/>
          <w:color w:val="auto"/>
        </w:rPr>
      </w:pPr>
      <w:r>
        <w:rPr>
          <w:rFonts w:ascii="Times New Roman" w:cs="Times New Roman" w:eastAsia="Times New Roman" w:hAnsi="Times New Roman"/>
          <w:sz w:val="18"/>
          <w:szCs w:val="18"/>
          <w:color w:val="auto"/>
        </w:rPr>
        <w:t>The Company finalized the purchase accounting during the fourth quarter of fiscal 2025, and there were no material adjustments made during the measurement period. The following table summarizes the fair values of the assets acquired and liabilities assumed, and the resulting goodwill acquired at the date of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209550</wp:posOffset>
            </wp:positionV>
            <wp:extent cx="50920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92065" cy="17145"/>
                    </a:xfrm>
                    <a:prstGeom prst="rect">
                      <a:avLst/>
                    </a:prstGeom>
                    <a:noFill/>
                  </pic:spPr>
                </pic:pic>
              </a:graphicData>
            </a:graphic>
          </wp:anchor>
        </w:drawing>
      </w:r>
    </w:p>
    <w:p>
      <w:pPr>
        <w:spacing w:after="0" w:line="33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p>
      <w:pPr>
        <w:spacing w:after="0" w:line="27" w:lineRule="exact"/>
        <w:rPr>
          <w:sz w:val="20"/>
          <w:szCs w:val="20"/>
          <w:color w:val="auto"/>
        </w:rPr>
      </w:pPr>
    </w:p>
    <w:tbl>
      <w:tblPr>
        <w:tblLayout w:type="fixed"/>
        <w:tblInd w:w="1300" w:type="dxa"/>
        <w:tblCellMar>
          <w:top w:w="0" w:type="dxa"/>
          <w:left w:w="0" w:type="dxa"/>
          <w:bottom w:w="0" w:type="dxa"/>
          <w:right w:w="0" w:type="dxa"/>
        </w:tblCellMar>
      </w:tblPr>
      <w:tr>
        <w:trPr>
          <w:trHeight w:val="237"/>
        </w:trPr>
        <w:tc>
          <w:tcPr>
            <w:tcW w:w="47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9"/>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30"/>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29"/>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3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w:t>
            </w:r>
          </w:p>
        </w:tc>
        <w:tc>
          <w:tcPr>
            <w:tcW w:w="2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accounts payable and accruals</w:t>
            </w:r>
          </w:p>
        </w:tc>
        <w:tc>
          <w:tcPr>
            <w:tcW w:w="2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3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other current liabilities</w:t>
            </w:r>
          </w:p>
        </w:tc>
        <w:tc>
          <w:tcPr>
            <w:tcW w:w="2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37"/>
        </w:trPr>
        <w:tc>
          <w:tcPr>
            <w:tcW w:w="4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long term liabilities</w:t>
            </w:r>
          </w:p>
        </w:tc>
        <w:tc>
          <w:tcPr>
            <w:tcW w:w="24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3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r>
      <w:tr>
        <w:trPr>
          <w:trHeight w:val="236"/>
        </w:trPr>
        <w:tc>
          <w:tcPr>
            <w:tcW w:w="4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4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w:t>
            </w:r>
          </w:p>
        </w:tc>
      </w:tr>
      <w:tr>
        <w:trPr>
          <w:trHeight w:val="230"/>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12,197</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Pro forma financial information has not been presented because such amounts are not material to the unaudited condensed consolidated financial statements.</w:t>
      </w:r>
    </w:p>
    <w:p>
      <w:pPr>
        <w:spacing w:after="0" w:line="189" w:lineRule="exact"/>
        <w:rPr>
          <w:sz w:val="20"/>
          <w:szCs w:val="20"/>
          <w:color w:val="auto"/>
        </w:rPr>
      </w:pPr>
    </w:p>
    <w:p>
      <w:pPr>
        <w:ind w:left="660" w:right="100"/>
        <w:spacing w:after="0" w:line="266" w:lineRule="auto"/>
        <w:rPr>
          <w:sz w:val="20"/>
          <w:szCs w:val="20"/>
          <w:color w:val="auto"/>
        </w:rPr>
      </w:pPr>
      <w:r>
        <w:rPr>
          <w:rFonts w:ascii="Times New Roman" w:cs="Times New Roman" w:eastAsia="Times New Roman" w:hAnsi="Times New Roman"/>
          <w:sz w:val="18"/>
          <w:szCs w:val="18"/>
          <w:color w:val="auto"/>
        </w:rPr>
        <w:t>Total transaction costs incurred for the acquisition were approximately $635, of which approximately $110 was recognized during the six months ended March 28, 2025, and the remainder was recognized in fiscal 2024. The costs are included in Administrative management, finance and information systems expenses in the accompanying Condensed Consolidated Statements of Operations.</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includes comments and analysis relating to the results of operations and financial condition of Johnson Outdoors Inc. and its subsidiaries (collectively, the “Company”) as of and for the three and six month periods ended April 3, 2026 and March 28, 2025. All monetary amounts, other than share and per share amounts, are stated in thousands.</w:t>
      </w:r>
    </w:p>
    <w:p>
      <w:pPr>
        <w:spacing w:after="0" w:line="20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This discussion should be read in conjunction with the Condensed Consolidated Financial Statements and related notes that immediately precede this section, as well as the Company’s Annual Report on Form 10-K for the fiscal year ended October 3, 2025 which was filed with the Securities and Exchange Commission on December 12,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Certain matters discussed in this Form 10-Q are “forward-looking statements,” and the Company intends these forward-looking statements to be covered by the safe harbor provisions for forward-looking statements contained in the Private Securities</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9" w:right="359"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3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Litigation Reform Act of 1995 and is including this statement for purposes of those safe harbor provisions. These forward-looking statements can generally be identified as such because they include phrases such as the Company “expects,” “believes,” “anticipates,” “intends,” use of words such as “confident,” “could,” “may,” “planned,” “potential,” “should,” “will,” “would” or the negative of such words or other words of similar meaning. Similarly, statements that describe the Company’s future plans, objectives or goals are also forward-looking statements. Such forward-looking statements are subject to certain risks and uncertainties which could cause actual results or outcomes to differ materially from those currently anticipated.</w:t>
      </w:r>
    </w:p>
    <w:p>
      <w:pPr>
        <w:spacing w:after="0" w:line="21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Factors that could affect actual results or outcomes include the matters described under the caption “Risk Factors” in Item 1A of the Company’s Form 10-K for the fiscal year ended October 3, 2025 which was filed with the Securities and Exchange Commission on December 12, 2025 and the following: changes in economic conditions, consumer confidence levels and discretionary spending patterns in key markets; uncertainties stemming from political instability or changes in government policy and actions (and its impact on the economies in jurisdictions where the Company has operations); uncertainties stemming from changes in U.S. trade policies, tariffs, and the reaction of other countries to such changes; the global outbreaks of disease which may affect market and economic conditions and may have wide-ranging impacts on employees, customers and various aspects of our operations; the Company’s success in implementing its strategic plan, including its targeted sales growth platforms, innovation focus and its increasing digital presence; litigation costs related to actions of and disputes with third parties, including competitors; the Company’s continued success in its working capital management and cost-structure reductions; the Company’s success in integrating strategic acquisitions; the risk of future writedowns of goodwill or other long-lived assets; the ability of the Company’s customers to meet payment obligations; the impact of actions of the Company's competitors with respect to product development or enhancement or the introduction of new products into the Company's markets; movements in foreign currencies, interest rates or commodity costs; fluctuations in the prices of raw materials or the availability of raw materials or components used by the Company; any disruptions in the Company's supply chain as a result of material fluctuations in the Company's order volumes and requirements for raw materials and other components, or the demand for those same raw materials and components by third parties, necessary to manufacture and produce the Company's products including related to shortages in procuring necessary raw materials and components to manufacture and produce such products; the success of the Company’s suppliers and customers and the impact of any consolidation in the industries of the Company's suppliers and customers; the ability of the Company to deploy its capital successfully; unanticipated outcomes related to outsourcing certain manufacturing processes; unanticipated outcomes related to litigation matters; and adverse weather conditions and other factors impacting climate change legislation. Shareholders, potential investors and other readers are urged to consider these factors in evaluating the forward-looking statements and are cautioned not to place undue reliance on such forward-looking statements. The forward-looking statements included herein are only made as of the date of this filing. The Company assumes no obligation, and disclaims any obligation, to update such forward-looking statements to reflect subsequent events or circumstances.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5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have registered the following trademarks, among others, which may be used in this report: Minn Kota®, Cannon®, Humminbird®, Jetboil®, Old Town®, Carlisle®, and SCUBAPRO®.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is a leading global manufacturer and marketer of branded seasonal outdoor recreation products used primarily for fishing, diving, paddling and camping. The Company’s portfolio of well-known consumer brands has attained leading market positions due to continuous innovation, marketing excellence, product performance and quality. The Company’s values and culture support innovation in all areas, promoting and leveraging best practices and synergies within and across its subsidiaries to advance the Company’s strategic vision set by executive management and approved by the Company’s Board of Directors. The Company is controlled by Helen P. Johnson-Leipold, the Company’s Chairman and Chief Executive Officer, members of her family and related entities.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Highlights</w:t>
      </w:r>
    </w:p>
    <w:p>
      <w:pPr>
        <w:spacing w:after="0" w:line="254" w:lineRule="exact"/>
        <w:rPr>
          <w:sz w:val="20"/>
          <w:szCs w:val="20"/>
          <w:color w:val="auto"/>
        </w:rPr>
      </w:pPr>
    </w:p>
    <w:p>
      <w:pPr>
        <w:ind w:right="460"/>
        <w:spacing w:after="0" w:line="250" w:lineRule="auto"/>
        <w:rPr>
          <w:sz w:val="20"/>
          <w:szCs w:val="20"/>
          <w:color w:val="auto"/>
        </w:rPr>
      </w:pPr>
      <w:r>
        <w:rPr>
          <w:rFonts w:ascii="Times New Roman" w:cs="Times New Roman" w:eastAsia="Times New Roman" w:hAnsi="Times New Roman"/>
          <w:sz w:val="18"/>
          <w:szCs w:val="18"/>
          <w:color w:val="auto"/>
        </w:rPr>
        <w:t>Net sales of $194,480 for the second quarter of fiscal 2026 increased $26,131, or 16%, from the same period in the prior year. The increase between quarterly periods was mainly driven by improved trade conditions, price increases, and strong overall product response in the markets in which we compete, especially in the Fishing segment. Gross margin increased to 38.8% compared to 35.0% in the prior year quarter. The sales gain and margin improvement contributed to a $5,448 increase in operating income in the current year quarter versus the prior year quarter.</w:t>
      </w:r>
    </w:p>
    <w:p>
      <w:pPr>
        <w:spacing w:after="0" w:line="20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February 20, 2026, the Supreme Court of the United States ruled that tariffs imposed under the International Emergency Economic Powers Act (IEEPA) were unlawful. Certain of the Company's imports were previously subject to such tariffs under IEEPA. Effective April 20, 2026, the U.S. Customs and Border Protection launched a platform for importers of record to begin submitting IEEPA tariff refund requests. We are unable to estimate any applicable financial effects for any recovery of potential</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9" w:right="359"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refunds, as the timing and amount of recovery are uncertain. We will continue to assess and evaluate new information as it becomes available.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Seasonality</w:t>
      </w:r>
    </w:p>
    <w:p>
      <w:pPr>
        <w:spacing w:after="0" w:line="241" w:lineRule="exact"/>
        <w:rPr>
          <w:sz w:val="20"/>
          <w:szCs w:val="20"/>
          <w:color w:val="auto"/>
        </w:rPr>
      </w:pPr>
    </w:p>
    <w:p>
      <w:pPr>
        <w:ind w:right="460"/>
        <w:spacing w:after="0" w:line="296" w:lineRule="auto"/>
        <w:rPr>
          <w:sz w:val="20"/>
          <w:szCs w:val="20"/>
          <w:color w:val="auto"/>
        </w:rPr>
      </w:pPr>
      <w:r>
        <w:rPr>
          <w:rFonts w:ascii="Times New Roman" w:cs="Times New Roman" w:eastAsia="Times New Roman" w:hAnsi="Times New Roman"/>
          <w:sz w:val="17"/>
          <w:szCs w:val="17"/>
          <w:color w:val="auto"/>
        </w:rPr>
        <w:t>The Company’s business is seasonal in nature. The second fiscal quarter traditionally falls within the Company’s primary selling season for its warm-weather outdoor recreation products. The table below sets forth a historical view of the Company’s seasonality during the last three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Fiscal Year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Borders>
              <w:top w:val="single" w:sz="8" w:color="auto"/>
              <w:bottom w:val="single" w:sz="8" w:color="auto"/>
            </w:tcBorders>
          </w:tcPr>
          <w:p>
            <w:pPr>
              <w:spacing w:after="0"/>
              <w:rPr>
                <w:sz w:val="20"/>
                <w:szCs w:val="20"/>
                <w:color w:val="auto"/>
              </w:rPr>
            </w:pPr>
          </w:p>
        </w:tc>
        <w:tc>
          <w:tcPr>
            <w:tcW w:w="2940" w:type="dxa"/>
            <w:vAlign w:val="bottom"/>
            <w:tcBorders>
              <w:top w:val="single" w:sz="8" w:color="auto"/>
              <w:bottom w:val="single" w:sz="8" w:color="auto"/>
            </w:tcBorders>
            <w:gridSpan w:val="2"/>
          </w:tcPr>
          <w:p>
            <w:pPr>
              <w:jc w:val="right"/>
              <w:ind w:right="1670"/>
              <w:spacing w:after="0"/>
              <w:rPr>
                <w:sz w:val="20"/>
                <w:szCs w:val="20"/>
                <w:color w:val="auto"/>
              </w:rPr>
            </w:pPr>
            <w:r>
              <w:rPr>
                <w:rFonts w:ascii="Times New Roman" w:cs="Times New Roman" w:eastAsia="Times New Roman" w:hAnsi="Times New Roman"/>
                <w:sz w:val="18"/>
                <w:szCs w:val="18"/>
                <w:color w:val="auto"/>
              </w:rPr>
              <w:t>2025</w:t>
            </w: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15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tcBorders>
              <w:top w:val="single" w:sz="8" w:color="auto"/>
              <w:bottom w:val="single" w:sz="8" w:color="auto"/>
            </w:tcBorders>
          </w:tcPr>
          <w:p>
            <w:pPr>
              <w:spacing w:after="0"/>
              <w:rPr>
                <w:sz w:val="20"/>
                <w:szCs w:val="20"/>
                <w:color w:val="auto"/>
              </w:rPr>
            </w:pPr>
          </w:p>
        </w:tc>
      </w:tr>
      <w:tr>
        <w:trPr>
          <w:trHeight w:val="184"/>
        </w:trPr>
        <w:tc>
          <w:tcPr>
            <w:tcW w:w="2860" w:type="dxa"/>
            <w:vAlign w:val="bottom"/>
          </w:tcPr>
          <w:p>
            <w:pPr>
              <w:spacing w:after="0"/>
              <w:rPr>
                <w:sz w:val="16"/>
                <w:szCs w:val="16"/>
                <w:color w:val="auto"/>
              </w:rPr>
            </w:pPr>
          </w:p>
        </w:tc>
        <w:tc>
          <w:tcPr>
            <w:tcW w:w="1060" w:type="dxa"/>
            <w:vAlign w:val="bottom"/>
          </w:tcPr>
          <w:p>
            <w:pPr>
              <w:jc w:val="right"/>
              <w:ind w:right="10"/>
              <w:spacing w:after="0" w:line="184" w:lineRule="exact"/>
              <w:rPr>
                <w:sz w:val="20"/>
                <w:szCs w:val="20"/>
                <w:color w:val="auto"/>
              </w:rPr>
            </w:pPr>
            <w:r>
              <w:rPr>
                <w:rFonts w:ascii="Times New Roman" w:cs="Times New Roman" w:eastAsia="Times New Roman" w:hAnsi="Times New Roman"/>
                <w:sz w:val="18"/>
                <w:szCs w:val="18"/>
                <w:color w:val="auto"/>
              </w:rPr>
              <w:t>Net</w:t>
            </w:r>
          </w:p>
        </w:tc>
        <w:tc>
          <w:tcPr>
            <w:tcW w:w="1880" w:type="dxa"/>
            <w:vAlign w:val="bottom"/>
          </w:tcPr>
          <w:p>
            <w:pPr>
              <w:jc w:val="right"/>
              <w:ind w:right="410"/>
              <w:spacing w:after="0" w:line="184" w:lineRule="exact"/>
              <w:rPr>
                <w:sz w:val="20"/>
                <w:szCs w:val="20"/>
                <w:color w:val="auto"/>
              </w:rPr>
            </w:pPr>
            <w:r>
              <w:rPr>
                <w:rFonts w:ascii="Times New Roman" w:cs="Times New Roman" w:eastAsia="Times New Roman" w:hAnsi="Times New Roman"/>
                <w:sz w:val="18"/>
                <w:szCs w:val="18"/>
                <w:color w:val="auto"/>
              </w:rPr>
              <w:t>Operating (Profit)</w:t>
            </w:r>
          </w:p>
        </w:tc>
        <w:tc>
          <w:tcPr>
            <w:tcW w:w="1360" w:type="dxa"/>
            <w:vAlign w:val="bottom"/>
          </w:tcPr>
          <w:p>
            <w:pPr>
              <w:jc w:val="right"/>
              <w:ind w:right="310"/>
              <w:spacing w:after="0" w:line="184" w:lineRule="exact"/>
              <w:rPr>
                <w:sz w:val="20"/>
                <w:szCs w:val="20"/>
                <w:color w:val="auto"/>
              </w:rPr>
            </w:pPr>
            <w:r>
              <w:rPr>
                <w:rFonts w:ascii="Times New Roman" w:cs="Times New Roman" w:eastAsia="Times New Roman" w:hAnsi="Times New Roman"/>
                <w:sz w:val="18"/>
                <w:szCs w:val="18"/>
                <w:color w:val="auto"/>
              </w:rPr>
              <w:t>Net</w:t>
            </w:r>
          </w:p>
        </w:tc>
        <w:tc>
          <w:tcPr>
            <w:tcW w:w="1580" w:type="dxa"/>
            <w:vAlign w:val="bottom"/>
          </w:tcPr>
          <w:p>
            <w:pPr>
              <w:jc w:val="right"/>
              <w:ind w:right="390"/>
              <w:spacing w:after="0" w:line="184" w:lineRule="exact"/>
              <w:rPr>
                <w:sz w:val="20"/>
                <w:szCs w:val="20"/>
                <w:color w:val="auto"/>
              </w:rPr>
            </w:pPr>
            <w:r>
              <w:rPr>
                <w:rFonts w:ascii="Times New Roman" w:cs="Times New Roman" w:eastAsia="Times New Roman" w:hAnsi="Times New Roman"/>
                <w:sz w:val="18"/>
                <w:szCs w:val="18"/>
                <w:color w:val="auto"/>
              </w:rPr>
              <w:t>Operating</w:t>
            </w:r>
          </w:p>
        </w:tc>
        <w:tc>
          <w:tcPr>
            <w:tcW w:w="1380" w:type="dxa"/>
            <w:vAlign w:val="bottom"/>
          </w:tcPr>
          <w:p>
            <w:pPr>
              <w:jc w:val="right"/>
              <w:ind w:right="310"/>
              <w:spacing w:after="0" w:line="184" w:lineRule="exact"/>
              <w:rPr>
                <w:sz w:val="20"/>
                <w:szCs w:val="20"/>
                <w:color w:val="auto"/>
              </w:rPr>
            </w:pPr>
            <w:r>
              <w:rPr>
                <w:rFonts w:ascii="Times New Roman" w:cs="Times New Roman" w:eastAsia="Times New Roman" w:hAnsi="Times New Roman"/>
                <w:sz w:val="18"/>
                <w:szCs w:val="18"/>
                <w:color w:val="auto"/>
              </w:rPr>
              <w:t>Net</w:t>
            </w:r>
          </w:p>
        </w:tc>
        <w:tc>
          <w:tcPr>
            <w:tcW w:w="11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Operating</w:t>
            </w:r>
          </w:p>
        </w:tc>
      </w:tr>
      <w:tr>
        <w:trPr>
          <w:trHeight w:val="241"/>
        </w:trPr>
        <w:tc>
          <w:tcPr>
            <w:tcW w:w="2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Quarter Ended</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Sales</w:t>
            </w:r>
          </w:p>
        </w:tc>
        <w:tc>
          <w:tcPr>
            <w:tcW w:w="1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Loss</w:t>
            </w: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Sales</w:t>
            </w:r>
          </w:p>
        </w:tc>
        <w:tc>
          <w:tcPr>
            <w:tcW w:w="1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Profit (Loss)</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Sales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Profit (Loss)</w:t>
            </w:r>
          </w:p>
        </w:tc>
      </w:tr>
      <w:tr>
        <w:trPr>
          <w:trHeight w:val="229"/>
        </w:trPr>
        <w:tc>
          <w:tcPr>
            <w:tcW w:w="28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December</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18 %</w:t>
            </w:r>
          </w:p>
        </w:tc>
        <w:tc>
          <w:tcPr>
            <w:tcW w:w="18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125 %</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23 %</w:t>
            </w:r>
          </w:p>
        </w:tc>
        <w:tc>
          <w:tcPr>
            <w:tcW w:w="1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0"/>
        </w:trPr>
        <w:tc>
          <w:tcPr>
            <w:tcW w:w="28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March</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28 %</w:t>
            </w:r>
          </w:p>
        </w:tc>
        <w:tc>
          <w:tcPr>
            <w:tcW w:w="18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(30)%</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30 %</w:t>
            </w:r>
          </w:p>
        </w:tc>
        <w:tc>
          <w:tcPr>
            <w:tcW w:w="1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1 %</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29"/>
        </w:trPr>
        <w:tc>
          <w:tcPr>
            <w:tcW w:w="28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June</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31 %</w:t>
            </w:r>
          </w:p>
        </w:tc>
        <w:tc>
          <w:tcPr>
            <w:tcW w:w="18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(45)%</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29 %</w:t>
            </w:r>
          </w:p>
        </w:tc>
        <w:tc>
          <w:tcPr>
            <w:tcW w:w="1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1 %</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28 %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37"/>
        </w:trPr>
        <w:tc>
          <w:tcPr>
            <w:tcW w:w="2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September</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23 %</w:t>
            </w:r>
          </w:p>
        </w:tc>
        <w:tc>
          <w:tcPr>
            <w:tcW w:w="1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50 %</w:t>
            </w: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18 %</w:t>
            </w:r>
          </w:p>
        </w:tc>
        <w:tc>
          <w:tcPr>
            <w:tcW w:w="1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98 %</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15 %</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54"/>
        </w:trPr>
        <w:tc>
          <w:tcPr>
            <w:tcW w:w="28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100 %</w:t>
            </w:r>
          </w:p>
        </w:tc>
        <w:tc>
          <w:tcPr>
            <w:tcW w:w="18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100 %</w:t>
            </w:r>
          </w:p>
        </w:tc>
        <w:tc>
          <w:tcPr>
            <w:tcW w:w="13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100 %</w:t>
            </w:r>
          </w:p>
        </w:tc>
        <w:tc>
          <w:tcPr>
            <w:tcW w:w="1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100 %</w:t>
            </w:r>
          </w:p>
        </w:tc>
        <w:tc>
          <w:tcPr>
            <w:tcW w:w="13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100 %</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8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sales and operating profit (loss) by business segment for the periods shown below were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9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spacing w:after="0"/>
              <w:rPr>
                <w:sz w:val="22"/>
                <w:szCs w:val="22"/>
                <w:color w:val="auto"/>
              </w:rPr>
            </w:pPr>
          </w:p>
        </w:tc>
        <w:tc>
          <w:tcPr>
            <w:tcW w:w="2840" w:type="dxa"/>
            <w:vAlign w:val="bottom"/>
            <w:tcBorders>
              <w:top w:val="single" w:sz="8" w:color="auto"/>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Borders>
              <w:top w:val="single" w:sz="8" w:color="auto"/>
              <w:bottom w:val="single" w:sz="8" w:color="auto"/>
            </w:tcBorders>
          </w:tcPr>
          <w:p>
            <w:pPr>
              <w:spacing w:after="0"/>
              <w:rPr>
                <w:sz w:val="22"/>
                <w:szCs w:val="22"/>
                <w:color w:val="auto"/>
              </w:rPr>
            </w:pPr>
          </w:p>
        </w:tc>
        <w:tc>
          <w:tcPr>
            <w:tcW w:w="2840" w:type="dxa"/>
            <w:vAlign w:val="bottom"/>
            <w:tcBorders>
              <w:top w:val="single" w:sz="8" w:color="auto"/>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7"/>
        </w:trPr>
        <w:tc>
          <w:tcPr>
            <w:tcW w:w="39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April 3, 2026</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March 28, 2025</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April 3, 2026</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March 28, 2025</w:t>
            </w: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Fishing</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134,891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271,395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217,363</w:t>
            </w:r>
          </w:p>
        </w:tc>
      </w:tr>
      <w:tr>
        <w:trPr>
          <w:trHeight w:val="230"/>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Camping &amp; Watercraft Recreation</w:t>
            </w:r>
          </w:p>
        </w:tc>
        <w:tc>
          <w:tcPr>
            <w:tcW w:w="1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17,852</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28,654</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27,303</w:t>
            </w:r>
          </w:p>
        </w:tc>
      </w:tr>
      <w:tr>
        <w:trPr>
          <w:trHeight w:val="230"/>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Diving</w:t>
            </w:r>
          </w:p>
        </w:tc>
        <w:tc>
          <w:tcPr>
            <w:tcW w:w="1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35,289</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31,504</w:t>
            </w:r>
          </w:p>
        </w:tc>
      </w:tr>
      <w:tr>
        <w:trPr>
          <w:trHeight w:val="236"/>
        </w:trPr>
        <w:tc>
          <w:tcPr>
            <w:tcW w:w="3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 Corporate / Eliminations</w:t>
            </w:r>
          </w:p>
        </w:tc>
        <w:tc>
          <w:tcPr>
            <w:tcW w:w="14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194,480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168,349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335,415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275,998</w:t>
            </w: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Fishing</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30"/>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Camping &amp; Watercraft Recreation</w:t>
            </w:r>
          </w:p>
        </w:tc>
        <w:tc>
          <w:tcPr>
            <w:tcW w:w="1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Diving</w:t>
            </w:r>
          </w:p>
        </w:tc>
        <w:tc>
          <w:tcPr>
            <w:tcW w:w="1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36"/>
        </w:trPr>
        <w:tc>
          <w:tcPr>
            <w:tcW w:w="3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 Corporate / Eliminations</w:t>
            </w:r>
          </w:p>
        </w:tc>
        <w:tc>
          <w:tcPr>
            <w:tcW w:w="14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(17,886)</w:t>
            </w: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(15,825)</w:t>
            </w:r>
          </w:p>
        </w:tc>
      </w:tr>
      <w:tr>
        <w:trPr>
          <w:trHeight w:val="230"/>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(15,338)</w:t>
            </w: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See “Note 16 – Segments of Business” of the notes to the accompanying Condensed Consolidated Financial Statements for the definition of segment net sales and operating profit.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Sales - Second Fiscal Quarter</w:t>
      </w:r>
    </w:p>
    <w:p>
      <w:pPr>
        <w:spacing w:after="0" w:line="2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Consolidated net sales for the three months ended April 3, 2026 were $194,480, an increase of $26,131, or 16%, compared to $168,349 for the three months ended March 28, 2025. Foreign currency translation had an impact of less than 1% on current year second quarter consolidated net sales compared to the prior year's second quarter consolidated net sales.</w:t>
      </w:r>
    </w:p>
    <w:p>
      <w:pPr>
        <w:spacing w:after="0" w:line="189" w:lineRule="exact"/>
        <w:rPr>
          <w:sz w:val="20"/>
          <w:szCs w:val="20"/>
          <w:color w:val="auto"/>
        </w:rPr>
      </w:pPr>
    </w:p>
    <w:p>
      <w:pPr>
        <w:jc w:val="both"/>
        <w:ind w:right="440"/>
        <w:spacing w:after="0" w:line="250" w:lineRule="auto"/>
        <w:rPr>
          <w:sz w:val="20"/>
          <w:szCs w:val="20"/>
          <w:color w:val="auto"/>
        </w:rPr>
      </w:pPr>
      <w:r>
        <w:rPr>
          <w:rFonts w:ascii="Times New Roman" w:cs="Times New Roman" w:eastAsia="Times New Roman" w:hAnsi="Times New Roman"/>
          <w:sz w:val="18"/>
          <w:szCs w:val="18"/>
          <w:color w:val="auto"/>
        </w:rPr>
        <w:t>Net sales for the three months ended April 3, 2026 for the Fishing business were $159,025, an increase of $24,134, or 18%, from $134,891 during the second fiscal quarter of the prior year. The increase in sales in this segment between quarters was mainly due to improved trade conditions, a stronger competitive position in the market, and pricing.</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324"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Net sales for the Camping &amp; Watercraft Recreation business were $18,053 for the second quarter of the current fiscal year, an increase of $201, or 1%, from the prior year net sales during the same period of $17,852. Growth in e-commerce channels overcame the unfavorable impact of a continuing weak end market for watercraft recreation products.</w:t>
      </w:r>
    </w:p>
    <w:p>
      <w:pPr>
        <w:spacing w:after="0" w:line="20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Net sales for Diving for the second quarter of fiscal 2026 were $17,315, which increased $1,495, or 9%, compared to net sales of $15,820 for the three months ended March 28, 2025. The sales increase over the prior year second quarter was primarily driven by the improved market conditions and growth in ecommerce. Additionally, foreign currency translation had a favorable impact of approximately 5% on sales in this segment in the current year second quarter versus the prior year second quarter.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Sales - Year-To-Date</w:t>
      </w:r>
    </w:p>
    <w:p>
      <w:pPr>
        <w:spacing w:after="0" w:line="24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Consolidated net sales for the six months ended April 3, 2026 were $335,415, an increase of $59,417, or 21.5%, compared to $275,998 for the six months ended March 28, 2025. Foreign currency translation had a negligible impact on net sales of the current year to date period compared to the prior year to date period.</w:t>
      </w:r>
    </w:p>
    <w:p>
      <w:pPr>
        <w:spacing w:after="0" w:line="18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Net sales for the six months ended April 3, 2026 for the Fishing business were $271,395, an increase of $54,032, or 25%, from $217,363 during the prior year to date period. The increase in sales in this segment between year to date periods was mainly due to improved trade conditions, sales generated by the launch of new products, and pricing.</w:t>
      </w:r>
    </w:p>
    <w:p>
      <w:pPr>
        <w:spacing w:after="0" w:line="20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Net sales for the six months ended April 3, 2026 for the Camping &amp; Watercraft Recreation business were $28,654, an increase of $1,351, or 5%, from the prior year net sales during the same period of $27,303. Growth in e-commerce channels overcame the unfavorable impact of a continuing weak end market for watercraft recreation products.</w:t>
      </w:r>
    </w:p>
    <w:p>
      <w:pPr>
        <w:spacing w:after="0" w:line="21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Net sales for the six months ended April 3, 2026 for the Diving business were $35,289, an increase of $3,785, or 12%, compared to net sales of $31,504 for the six months ended March 28, 2025. The sales increase over the prior year to date period was primarily driven by the improved market conditions and growth in ecommerce. Additionally, foreign currency translation had a favorable impact of approximately 5% on sales in this segment versus the prior year to date period.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Sales</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Cost of sales for the three months ended April 3, 2026 of $118,992 increased $9,509 compared to $109,483 for the three months ended March 28, 2025, due primarily to the increase in sales volumes over the prior year quarter as well as higher costs from tariffs in the current year second quarter on purchased raw materials and components. Higher material costs were offset in part by lower labor costs driven by efficiencies from cost cutting initiatives.</w:t>
      </w:r>
    </w:p>
    <w:p>
      <w:pPr>
        <w:spacing w:after="0" w:line="196"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7"/>
          <w:szCs w:val="17"/>
          <w:color w:val="auto"/>
        </w:rPr>
        <w:t>Cost of sales for the six months ended April 3, 2026 of $208,317 increased $23,368 compared to $184,949 for the six months ended March 28, 2025, due primarily to the increase in sales volumes over the prior year to date period as well as higher costs from tariffs on purchased raw materials and components incurred in the current year to date period. Higher material costs were offset in part by lower labor costs driven by efficiencies from cost cutting initiatives.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Gross Profit Margin</w:t>
      </w:r>
    </w:p>
    <w:p>
      <w:pPr>
        <w:spacing w:after="0" w:line="2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three months ended April 3, 2026, gross profit as a percentage of net sales increased to 38.8% compared to 35.0% in the three month period ended March 28, 2025, mainly as a result of improved overhead absorption driven by higher sales volumes between the quarters. Pricing actions taken by the Company and cost saving initiatives also helped offset the impact of incremental tariffs in the current quarter.</w:t>
      </w:r>
    </w:p>
    <w:p>
      <w:pPr>
        <w:spacing w:after="0" w:line="20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For the six months ended April 3, 2026, gross profit as a percentage of net sales increased to 37.9% compared to 33.0% in the six months ended March 28, 2025, mainly as a result improved overhead absorption driven by higher sales volumes between the periods. Pricing actions taken by the Company and cost savings initiatives also helped to offset the impact of incremental tariffs in the current year to date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Expenses</w:t>
      </w:r>
    </w:p>
    <w:p>
      <w:pPr>
        <w:spacing w:after="0" w:line="24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Operating expenses were $65,139 for the three months ended April 3, 2026, compared to $53,965 for the three months ended March 28, 2025. The main drivers of the $11,174 increase between quarters were higher sales-volume related costs as well as increased variable compensation costs.</w:t>
      </w:r>
    </w:p>
    <w:p>
      <w:pPr>
        <w:jc w:val="both"/>
        <w:ind w:right="380"/>
        <w:spacing w:after="0" w:line="255" w:lineRule="auto"/>
        <w:rPr>
          <w:sz w:val="20"/>
          <w:szCs w:val="20"/>
          <w:color w:val="auto"/>
        </w:rPr>
      </w:pPr>
      <w:r>
        <w:rPr>
          <w:rFonts w:ascii="Times New Roman" w:cs="Times New Roman" w:eastAsia="Times New Roman" w:hAnsi="Times New Roman"/>
          <w:sz w:val="18"/>
          <w:szCs w:val="18"/>
          <w:color w:val="auto"/>
        </w:rPr>
        <w:t>Operating expenses were $119,661 for the six months ended April 3, 2026, compared to $106,387 for the six months ended March 28, 2025. The main drivers of the $13,274 increase between year to date periods were higher sales-volume related costs, higher variable compensation costs and additional professional services expense in the current year to date period.</w:t>
      </w:r>
    </w:p>
    <w:p>
      <w:pPr>
        <w:sectPr>
          <w:pgSz w:w="11900" w:h="16838" w:orient="portrait"/>
          <w:cols w:equalWidth="0" w:num="1">
            <w:col w:w="11240"/>
          </w:cols>
          <w:pgMar w:left="320" w:top="259"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type w:val="continuous"/>
        </w:sectPr>
      </w:pPr>
    </w:p>
    <w:bookmarkStart w:id="28" w:name="page29"/>
    <w:bookmarkEnd w:id="28"/>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Profit/Loss</w:t>
      </w:r>
    </w:p>
    <w:p>
      <w:pPr>
        <w:spacing w:after="0" w:line="25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Operating profit on a consolidated basis for the three month period ended April 3, 2026 was $10,349, compared to $4,901 in the second quarter of the prior fiscal year. As discussed above, the improvement in operating profit between quarters was driven primarily by an increase in sales and gross margin improvements between periods.</w:t>
      </w:r>
    </w:p>
    <w:p>
      <w:pPr>
        <w:spacing w:after="0" w:line="21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Operating profit on a consolidated basis for the six month period ended April 3, 2026 was $7,437, compared to operating loss of $15,338 in the prior year to date period. As discussed above, the improvement in operating profit (loss) was driven primarily by an increase in sales and gross margin improvements between periods.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w:t>
      </w:r>
    </w:p>
    <w:p>
      <w:pPr>
        <w:spacing w:after="0" w:line="2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was $48 and $68 for the three months ended April 3, 2026 and March 28, 2025, respectively, and $105 and $115 for the six months ended April 3, 2026 and March 28, 2025, respectively.</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Interest income was $632 and $625 for the three months ended April 3, 2026 and March 28, 2025, respectively, and $1,952 and $1,658 for the six months ended April 3, 2026 and March 28, 2025,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Expense (Income), net</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income was $726 for the three months ended April 3, 2026 compared to $1,300 in the prior year period. The main driver of the $574 decrease period over period was a $418 decrease in net investment gains and earnings on the assets related to the Company's non-qualified deferred compensation plan in the current year quarter, entirely offset as a reduction to operating expense. For the three months ended April 3, 2026, foreign currency exchange gains were $196 compared to foreign currency exchange losses of $21 for the three months ended March 28, 2025.</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Other income was $332 for the six months ended April 3, 2026 compared to $974 in the prior year period. The $642 decrease was primarily attributable to a $639 decrease in net investment gains and earnings on the assets related to the Company's non-qualified deferred compensation plan in the current year-to-date period, entirely offset as a reduction to operating expense. For the six months ended April 3, 2026, foreign currency exchange gains were $128 compared to foreign currency exchange gains of $183 for the six months ended March 28,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Expense</w:t>
      </w:r>
    </w:p>
    <w:p>
      <w:pPr>
        <w:spacing w:after="0" w:line="25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Company’s provision for income taxes is based upon estimated annual effective tax rates in the tax jurisdictions in which the Company operates. The Company recorded income tax expense of $798 and $2,843, respectively, in the three and six month periods ended April 3, 2026 which equated to an effective tax rate of 7.8% and 31.8%, respectively. The effective tax rate was impacted by an adjustment related to the Company's U.S. valuation allowance on deferred tax assets. The Company recorded an expense of $1,854 during the three months ended March 28, 2025, which equated to an effective tax rate of 44.6%. The Company recorded a benefit of $1,783 during the six months ended March 28, 2025, which equated to an effective tax benefit of 12.1%.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Income/Loss</w:t>
      </w:r>
    </w:p>
    <w:p>
      <w:pPr>
        <w:spacing w:after="0" w:line="2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Net income for the three months ended April 3, 2026 was $9,409, or $0.89 per diluted common class A and B share, compared to $2,304, or $0.22 per diluted common class A and B share, for the second quarter of the prior fiscal year.</w:t>
      </w:r>
    </w:p>
    <w:p>
      <w:pPr>
        <w:spacing w:after="0" w:line="17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Net income for the six months ended April 3, 2026 was $6,109, or $0.58 per diluted common class A and B share, compared to net loss of $12,986, or $1.26 per diluted common class A and B share, during the corresponding period of the prior fiscal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Cash and cash equivalents and short term investments totaled $107,876 as of April 3, 2026, compared to $93,951 as of March 28, 2025. The Company’s debt to total capitalization ratio was 0% as of April 3, 2026 and March 28, 2025. The Company’s total debt balance was $0 as of each of April 3, 2026 and March 28, 2025. See “Note 11 – Indebtedness” in the notes to the Company’s accompanying condensed consolidated financial statements for further discussion of our credit facilities.</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Accounts receivable, net of allowance for credit losses, were $126,852 as of April 3, 2026, an increase of $10,076 compared to $116,776 as of March 28, 2025. The increase is consistent with the increased sales volumes over the prior year quarter.</w:t>
      </w:r>
    </w:p>
    <w:p>
      <w:pPr>
        <w:sectPr>
          <w:pgSz w:w="11900" w:h="16838" w:orient="portrait"/>
          <w:cols w:equalWidth="0" w:num="1">
            <w:col w:w="11220"/>
          </w:cols>
          <w:pgMar w:left="320" w:top="259" w:right="35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9" w:right="359" w:bottom="1440" w:gutter="0" w:footer="0" w:header="0"/>
          <w:type w:val="continuous"/>
        </w:sectPr>
      </w:pPr>
    </w:p>
    <w:bookmarkStart w:id="29" w:name="page30"/>
    <w:bookmarkEnd w:id="29"/>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3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Inventories were $186,900 as of April 3, 2026, an increase of $6,843, compared to $180,057 as of March 28, 2025. The increase is the result of a strategic ramp-up of inventory and safety stock in response to higher sales volumes period over period. Accounts payable were $52,332 at April 3, 2026 compared to $44,323 as of March 28, 2025. The increase of $8,010 is consistent with the increase in inventory.</w:t>
      </w:r>
    </w:p>
    <w:p>
      <w:pPr>
        <w:spacing w:after="0" w:line="20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Company’s cash flows from operating, investing and financing activities, as presented in the Company’s accompanying Condensed Consolidated Statements of Cash Flows, are summarized in the following table: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440" w:type="dxa"/>
            <w:vAlign w:val="bottom"/>
            <w:tcBorders>
              <w:top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15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(thousands)</w:t>
            </w:r>
          </w:p>
        </w:tc>
        <w:tc>
          <w:tcPr>
            <w:tcW w:w="1460" w:type="dxa"/>
            <w:vAlign w:val="bottom"/>
          </w:tcPr>
          <w:p>
            <w:pPr>
              <w:jc w:val="right"/>
              <w:ind w:right="10"/>
              <w:spacing w:after="0" w:line="184" w:lineRule="exact"/>
              <w:rPr>
                <w:sz w:val="20"/>
                <w:szCs w:val="20"/>
                <w:color w:val="auto"/>
              </w:rPr>
            </w:pPr>
            <w:r>
              <w:rPr>
                <w:rFonts w:ascii="Times New Roman" w:cs="Times New Roman" w:eastAsia="Times New Roman" w:hAnsi="Times New Roman"/>
                <w:sz w:val="18"/>
                <w:szCs w:val="18"/>
                <w:color w:val="auto"/>
              </w:rPr>
              <w:t>April 3,</w:t>
            </w: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00" w:type="dxa"/>
            <w:vAlign w:val="bottom"/>
          </w:tcPr>
          <w:p>
            <w:pPr>
              <w:jc w:val="right"/>
              <w:ind w:right="630"/>
              <w:spacing w:after="0" w:line="184" w:lineRule="exact"/>
              <w:rPr>
                <w:sz w:val="20"/>
                <w:szCs w:val="20"/>
                <w:color w:val="auto"/>
              </w:rPr>
            </w:pPr>
            <w:r>
              <w:rPr>
                <w:rFonts w:ascii="Times New Roman" w:cs="Times New Roman" w:eastAsia="Times New Roman" w:hAnsi="Times New Roman"/>
                <w:sz w:val="18"/>
                <w:szCs w:val="18"/>
                <w:color w:val="auto"/>
              </w:rPr>
              <w:t>March 28,</w:t>
            </w:r>
          </w:p>
        </w:tc>
        <w:tc>
          <w:tcPr>
            <w:tcW w:w="0" w:type="dxa"/>
            <w:vAlign w:val="bottom"/>
          </w:tcPr>
          <w:p>
            <w:pPr>
              <w:spacing w:after="0"/>
              <w:rPr>
                <w:sz w:val="1"/>
                <w:szCs w:val="1"/>
                <w:color w:val="auto"/>
              </w:rPr>
            </w:pPr>
          </w:p>
        </w:tc>
      </w:tr>
      <w:tr>
        <w:trPr>
          <w:trHeight w:val="241"/>
        </w:trPr>
        <w:tc>
          <w:tcPr>
            <w:tcW w:w="5440" w:type="dxa"/>
            <w:vAlign w:val="bottom"/>
            <w:tcBorders>
              <w:bottom w:val="single" w:sz="8" w:color="auto"/>
            </w:tcBorders>
            <w:vMerge w:val="continue"/>
          </w:tcPr>
          <w:p>
            <w:pPr>
              <w:spacing w:after="0"/>
              <w:rPr>
                <w:sz w:val="20"/>
                <w:szCs w:val="20"/>
                <w:color w:val="auto"/>
              </w:rPr>
            </w:pPr>
          </w:p>
        </w:tc>
        <w:tc>
          <w:tcPr>
            <w:tcW w:w="1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w:t>
            </w:r>
          </w:p>
        </w:tc>
        <w:tc>
          <w:tcPr>
            <w:tcW w:w="1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46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(50,700)</w:t>
            </w: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(38,566)</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6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4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6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rate changes on cash</w:t>
            </w:r>
          </w:p>
        </w:tc>
        <w:tc>
          <w:tcPr>
            <w:tcW w:w="1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6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460" w:type="dxa"/>
            <w:vAlign w:val="bottom"/>
            <w:tcBorders>
              <w:bottom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(68,523)</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(55,862)</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Activities</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Cash used for operations totaled $50,700 for the six months ended April 3, 2026 compared to $38,566 during the corresponding period of the prior fiscal year. The increase in cash used for operations over the prior year six month period was due primarily to inventory changes between periods offset in part by higher income in the current year to date period. Depreciation and amortization charges were $10,097 for the six month period ended April 3, 2026 compared to $10,041 for the corresponding period of the prior year.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Investing Activities</w:t>
      </w:r>
    </w:p>
    <w:p>
      <w:pPr>
        <w:spacing w:after="0" w:line="24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Cash used for investing activities totaled $10,475 for the six months ended April 3, 2026 compared to $7,749 for the corresponding period of the prior fiscal year. The prior year period reflects $12,197 paid to acquire a business, partially offset by proceeds from maturity of investments of $11,826. Capital expenditures were $10,496 in the six months ended April 3, 2026, compared to $7,378 in the prior year to date period. Any additional capital expenditures in fiscal 2026 are expected to be funded by working capital.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Activities</w:t>
      </w:r>
    </w:p>
    <w:p>
      <w:pPr>
        <w:spacing w:after="0" w:line="2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Cash used for financing activities totaled $6,897 for the six months ended April 3, 2026 compared to $6,879 for the six month period ended March 28, 2025 and represents the payment of dividends and purchase of treasury stock for both periods. The Company had no debt during either six month period ended April 3, 2026 and March 28, 2025. See Note 11 "Indebtedness" to the accompanying Condensed Consolidated Financial Statements for additional information on our credit facilities.</w:t>
      </w:r>
    </w:p>
    <w:p>
      <w:pPr>
        <w:spacing w:after="0" w:line="2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April 3, 2026 the Company held approximately $61,795 of cash, cash equivalents and short-term investments in bank accounts in foreign taxing jurisdictions.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 Balance Sheet Arrangements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has contractual obligations and commitments to make future payments including under operating leases and open purchase orders. There have been no changes outside of the ordinary course of business in the specified contractual obligations during the quarter ended April 3, 2026.</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utilizes letters of credit primarily as security for the payment of future claims under its workers compensation insurance. Letters of credit outstanding were approximately $51 and $67 as of April 3, 2026 and March 28, 2025,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other 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ectPr>
          <w:pgSz w:w="11900" w:h="16838" w:orient="portrait"/>
          <w:cols w:equalWidth="0" w:num="1">
            <w:col w:w="11120"/>
          </w:cols>
          <w:pgMar w:left="320" w:top="2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59" w:right="459" w:bottom="1440" w:gutter="0" w:footer="0" w:header="0"/>
          <w:type w:val="continuous"/>
        </w:sectPr>
      </w:pPr>
    </w:p>
    <w:bookmarkStart w:id="30" w:name="page31"/>
    <w:bookmarkEnd w:id="30"/>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337"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 xml:space="preserve">The Company’s critical accounting policies and estimates are identified in the Company’s Annual Report on Form 10-K for the fiscal year ending October 3, 2025 in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under the heading “Critical Accounting Estimates”, which was filed with the Securities and Exchange Commission on December 12, 2025. There were no significant changes to the Company’s critical accounting policies and estimates during the six months ended April 3, 2026.</w:t>
      </w:r>
    </w:p>
    <w:p>
      <w:pPr>
        <w:spacing w:after="0" w:line="200" w:lineRule="exact"/>
        <w:rPr>
          <w:sz w:val="20"/>
          <w:szCs w:val="20"/>
          <w:color w:val="auto"/>
        </w:rPr>
      </w:pPr>
    </w:p>
    <w:p>
      <w:pPr>
        <w:spacing w:after="0" w:line="24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Company is exposed to market risk in foreign currency exchange rates, interest rates, commodity prices and inflation. For a discussion of exposure to market risk, refer to the Company’s Annual Report on Form 10-K for the fiscal year ending October 3, 2025, in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and Results of Operations </w:t>
      </w:r>
      <w:r>
        <w:rPr>
          <w:rFonts w:ascii="Times New Roman" w:cs="Times New Roman" w:eastAsia="Times New Roman" w:hAnsi="Times New Roman"/>
          <w:sz w:val="18"/>
          <w:szCs w:val="18"/>
          <w:color w:val="auto"/>
        </w:rPr>
        <w:t>under the heading “Market Risk Management”, which was filed with the Securities and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on December 12, 2025. There have been no significant changes to our market risk in the six months ended April 3, 2026.</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Rules 13a-15(e) and 15d-15(e) under the Securities Exchange Act of 1934, as amended (the “Exchange Act”)) that are designed to ensure that information required to be disclosed in the Company’s reports filed or submitted under the Exchange Act, is recorded, processed, summarized and reported within the time periods specified in the Securities and Exchange Commission’s rules and forms, and that the information required to be disclosed by the Company in reports that it files or submits under the Exchange Act is accumulated and communicated to its management, including its Chief Executive Officer and Chief Financial Officer, as appropriate to allow timely decisions regarding required disclosure. As of the end of the period covered by this report, the Company carried out an evaluation, under the supervision and with the participation of the Company’s management, including the Chief Executive Officer and Chief Financial Officer, of the effectiveness of the design and operation of the Company’s disclosure controls and procedures. Based on this evaluation, the Company’s Chief Executive Officer and Chief Financial Officer concluded that, as of the end of such period, the Company’s disclosure controls and procedures were effective at reaching a level of reasonable assurance. It should be noted that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 The Company has designed its disclosure controls and procedures to reach a level of reasonable assurance of achieving the desired control objectives.</w:t>
      </w:r>
    </w:p>
    <w:p>
      <w:pPr>
        <w:spacing w:after="0" w:line="174" w:lineRule="exact"/>
        <w:rPr>
          <w:sz w:val="20"/>
          <w:szCs w:val="20"/>
          <w:color w:val="auto"/>
        </w:rPr>
      </w:pPr>
    </w:p>
    <w:p>
      <w:pPr>
        <w:jc w:val="both"/>
        <w:ind w:right="200"/>
        <w:spacing w:after="0" w:line="236" w:lineRule="exact"/>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under the Exchange Act) that occurred during the last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3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may be involved in various legal proceedings from time to time. We do not believe we are currently involved in any claim or action the ultimate disposition of which would have a material adverse effect on our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our Form 10-K for the fiscal year ending October 3, 2025 as filed with the Securities and Exchange Commission on December 12,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00"/>
          </w:cols>
          <w:pgMar w:left="320" w:top="25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9" w:right="379" w:bottom="1440" w:gutter="0" w:footer="0" w:header="0"/>
          <w:type w:val="continuous"/>
        </w:sectPr>
      </w:pPr>
    </w:p>
    <w:bookmarkStart w:id="31" w:name="page32"/>
    <w:bookmarkEnd w:id="31"/>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Trading Plans.</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 period ended April 3, 2026, no director or officer of the Company adopted or terminated a “Rule 10b5-1 trading arrangement” or “non-Rule 10b5-1 trading arrangement,” as each term is defined in Item 408(a) of Regulation S-K, nor did the Company during such fiscal quarter adopt or terminate any “Rule 10b5-1 trading arrangement.”</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to this Form 10-Q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JOHNSON OUTDOORS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Signatures Dated: May 8, 2026</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Helen P. Johnson-Leipold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090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909060" cy="17145"/>
                    </a:xfrm>
                    <a:prstGeom prst="rect">
                      <a:avLst/>
                    </a:prstGeom>
                    <a:noFill/>
                  </pic:spPr>
                </pic:pic>
              </a:graphicData>
            </a:graphic>
          </wp:anchor>
        </w:drawing>
      </w:r>
    </w:p>
    <w:p>
      <w:pPr>
        <w:spacing w:after="0" w:line="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Helen P. Johnson-Leipold</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David 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090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0906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David W. Johnson</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9" w:right="379"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6"/>
          <w:szCs w:val="16"/>
          <w:i w:val="1"/>
          <w:iCs w:val="1"/>
          <w:u w:val="single" w:color="auto"/>
          <w:color w:val="0000FF"/>
        </w:rPr>
        <w:t>Index</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8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Exhibit Index to Quarterly Report on Form 10-Q</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Number</w:t>
            </w:r>
          </w:p>
        </w:tc>
        <w:tc>
          <w:tcPr>
            <w:tcW w:w="99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9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94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Articles of Incorporation of the Company as amended through February 17, 2000. (Filed as Exhibit 3.1(a) to the Company’s Form 10-Q</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99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quarter ended March 31, 2000 and incorporated herein by reference.)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3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94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Bylaws of the Company as amended and restated through December 6, 2010. (Filed as Exhibit 3.2 to the Company’s Form 10-K for the</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99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October 1, 2010 and incorporated herein by reference.)</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9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38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9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by the Chief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9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by the Chief Financial Officer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0000FF"/>
                <w:w w:val="71"/>
              </w:rPr>
              <w:t>(1)</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94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Certification of Periodic Financial Report by the Chief Executive Officer and Chief Financial Officer pursuant to Section 906 of the</w:t>
            </w:r>
          </w:p>
        </w:tc>
        <w:tc>
          <w:tcPr>
            <w:tcW w:w="0" w:type="dxa"/>
            <w:vAlign w:val="bottom"/>
          </w:tcPr>
          <w:p>
            <w:pPr>
              <w:spacing w:after="0"/>
              <w:rPr>
                <w:sz w:val="1"/>
                <w:szCs w:val="1"/>
                <w:color w:val="auto"/>
              </w:rPr>
            </w:pPr>
          </w:p>
        </w:tc>
      </w:tr>
      <w:tr>
        <w:trPr>
          <w:trHeight w:val="77"/>
        </w:trPr>
        <w:tc>
          <w:tcPr>
            <w:tcW w:w="260" w:type="dxa"/>
            <w:vAlign w:val="bottom"/>
            <w:gridSpan w:val="2"/>
            <w:vMerge w:val="restart"/>
          </w:tcPr>
          <w:p>
            <w:pPr>
              <w:ind w:left="20"/>
              <w:spacing w:after="0" w:line="194" w:lineRule="exact"/>
              <w:rPr>
                <w:sz w:val="20"/>
                <w:szCs w:val="20"/>
                <w:color w:val="auto"/>
              </w:rPr>
            </w:pPr>
            <w:r>
              <w:rPr>
                <w:rFonts w:ascii="Times New Roman" w:cs="Times New Roman" w:eastAsia="Times New Roman" w:hAnsi="Times New Roman"/>
                <w:sz w:val="18"/>
                <w:szCs w:val="18"/>
                <w:color w:val="0000FF"/>
              </w:rPr>
              <w:t>32</w:t>
            </w:r>
          </w:p>
        </w:tc>
        <w:tc>
          <w:tcPr>
            <w:tcW w:w="120" w:type="dxa"/>
            <w:vAlign w:val="bottom"/>
            <w:tcBorders>
              <w:bottom w:val="single" w:sz="8" w:color="0000FF"/>
            </w:tcBorders>
            <w:gridSpan w:val="2"/>
            <w:vMerge w:val="continue"/>
          </w:tcPr>
          <w:p>
            <w:pPr>
              <w:spacing w:after="0"/>
              <w:rPr>
                <w:sz w:val="6"/>
                <w:szCs w:val="6"/>
                <w:color w:val="auto"/>
              </w:rPr>
            </w:pPr>
          </w:p>
        </w:tc>
        <w:tc>
          <w:tcPr>
            <w:tcW w:w="240" w:type="dxa"/>
            <w:vAlign w:val="bottom"/>
            <w:vMerge w:val="restart"/>
          </w:tcPr>
          <w:p>
            <w:pPr>
              <w:spacing w:after="0"/>
              <w:rPr>
                <w:sz w:val="6"/>
                <w:szCs w:val="6"/>
                <w:color w:val="auto"/>
              </w:rPr>
            </w:pPr>
          </w:p>
        </w:tc>
        <w:tc>
          <w:tcPr>
            <w:tcW w:w="640" w:type="dxa"/>
            <w:vAlign w:val="bottom"/>
          </w:tcPr>
          <w:p>
            <w:pPr>
              <w:spacing w:after="0"/>
              <w:rPr>
                <w:sz w:val="6"/>
                <w:szCs w:val="6"/>
                <w:color w:val="auto"/>
              </w:rPr>
            </w:pPr>
          </w:p>
        </w:tc>
        <w:tc>
          <w:tcPr>
            <w:tcW w:w="9940" w:type="dxa"/>
            <w:vAlign w:val="bottom"/>
            <w:gridSpan w:val="3"/>
            <w:vMerge w:val="restart"/>
          </w:tcPr>
          <w:p>
            <w:pPr>
              <w:ind w:left="20"/>
              <w:spacing w:after="0" w:line="194" w:lineRule="exact"/>
              <w:rPr>
                <w:sz w:val="20"/>
                <w:szCs w:val="20"/>
                <w:color w:val="auto"/>
              </w:rPr>
            </w:pPr>
            <w:r>
              <w:rPr>
                <w:rFonts w:ascii="Times New Roman" w:cs="Times New Roman" w:eastAsia="Times New Roman" w:hAnsi="Times New Roman"/>
                <w:sz w:val="18"/>
                <w:szCs w:val="18"/>
                <w:color w:val="auto"/>
              </w:rPr>
              <w:t>Sarbanes-Oxley Act of 2002.</w:t>
            </w:r>
          </w:p>
        </w:tc>
        <w:tc>
          <w:tcPr>
            <w:tcW w:w="0" w:type="dxa"/>
            <w:vAlign w:val="bottom"/>
          </w:tcPr>
          <w:p>
            <w:pPr>
              <w:spacing w:after="0"/>
              <w:rPr>
                <w:sz w:val="1"/>
                <w:szCs w:val="1"/>
                <w:color w:val="auto"/>
              </w:rPr>
            </w:pPr>
          </w:p>
        </w:tc>
      </w:tr>
      <w:tr>
        <w:trPr>
          <w:trHeight w:val="102"/>
        </w:trPr>
        <w:tc>
          <w:tcPr>
            <w:tcW w:w="260" w:type="dxa"/>
            <w:vAlign w:val="bottom"/>
            <w:gridSpan w:val="2"/>
            <w:vMerge w:val="continue"/>
          </w:tcPr>
          <w:p>
            <w:pPr>
              <w:spacing w:after="0"/>
              <w:rPr>
                <w:sz w:val="8"/>
                <w:szCs w:val="8"/>
                <w:color w:val="auto"/>
              </w:rPr>
            </w:pPr>
          </w:p>
        </w:tc>
        <w:tc>
          <w:tcPr>
            <w:tcW w:w="120" w:type="dxa"/>
            <w:vAlign w:val="bottom"/>
            <w:gridSpan w:val="2"/>
          </w:tcPr>
          <w:p>
            <w:pPr>
              <w:spacing w:after="0"/>
              <w:rPr>
                <w:sz w:val="8"/>
                <w:szCs w:val="8"/>
                <w:color w:val="auto"/>
              </w:rPr>
            </w:pPr>
          </w:p>
        </w:tc>
        <w:tc>
          <w:tcPr>
            <w:tcW w:w="2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9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280" w:right="40" w:hanging="1254"/>
        <w:spacing w:after="0" w:line="247"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Johnson Outdoors Inc.’s Quarterly Report on Form 10-Q for the fiscal quarter ended April 3, 2026 formatted in XBRL (eXtensible Business Reporting Language) and furnished electronically herewith: (i) Condensed Consolidated Balance Sheets; (ii) Condensed Consolidated Statements of Operations; (iii) Condensed Consolidated Statements of Comprehensive (Loss) Income; (iv) Condensed Consolidated Statements of Cash Flows; (v) Condensed Consolidated Statements of Shareholders' Equity and (vi) Notes to Condensed Consolidated Financial Statements. XBRL Instance Document – the XBRL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0628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68" w:lineRule="exact"/>
        <w:rPr>
          <w:sz w:val="20"/>
          <w:szCs w:val="20"/>
          <w:color w:val="auto"/>
        </w:rPr>
      </w:pPr>
    </w:p>
    <w:p>
      <w:pPr>
        <w:ind w:left="1280" w:right="420" w:hanging="1254"/>
        <w:spacing w:after="0" w:line="282" w:lineRule="auto"/>
        <w:tabs>
          <w:tab w:leader="none" w:pos="12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April 3, 2026, formatted in Inline XBRL (included in Exhibit 101).</w:t>
      </w:r>
    </w:p>
    <w:p>
      <w:pPr>
        <w:spacing w:after="0" w:line="269" w:lineRule="exact"/>
        <w:rPr>
          <w:rFonts w:ascii="Times New Roman" w:cs="Times New Roman" w:eastAsia="Times New Roman" w:hAnsi="Times New Roman"/>
          <w:sz w:val="18"/>
          <w:szCs w:val="18"/>
          <w:color w:val="auto"/>
        </w:rPr>
      </w:pPr>
    </w:p>
    <w:p>
      <w:pPr>
        <w:ind w:right="280" w:firstLine="8"/>
        <w:spacing w:after="0" w:line="242" w:lineRule="auto"/>
        <w:tabs>
          <w:tab w:leader="none" w:pos="181"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This certification is not “filed” for purposes of Section 18 of the Securities Exchange Act of 1934, as amended, or incorporated by reference into any filing under the Securities Act of 1933, as amended, or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24771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- 31 -</w:t>
      </w:r>
    </w:p>
    <w:p>
      <w:pPr>
        <w:sectPr>
          <w:pgSz w:w="11900" w:h="16838" w:orient="portrait"/>
          <w:cols w:equalWidth="0" w:num="1">
            <w:col w:w="11200"/>
          </w:cols>
          <w:pgMar w:left="320" w:top="259" w:right="3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and Rule 13a-14(a) or 15d-14(a) under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Helen P. Johnson-Leipold,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Johnson Outdoors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700" w:val="left"/>
          <w:tab w:leader="none" w:pos="5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2026</w:t>
      </w:r>
      <w:r>
        <w:rPr>
          <w:sz w:val="20"/>
          <w:szCs w:val="20"/>
          <w:color w:val="auto"/>
        </w:rPr>
        <w:tab/>
      </w:r>
      <w:r>
        <w:rPr>
          <w:rFonts w:ascii="Times New Roman" w:cs="Times New Roman" w:eastAsia="Times New Roman" w:hAnsi="Times New Roman"/>
          <w:sz w:val="17"/>
          <w:szCs w:val="17"/>
          <w:color w:val="auto"/>
        </w:rPr>
        <w:t>/s/ Helen P. Johnson-Leipold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276860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76860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Helen P. Johnson-Leipold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and Rule 13a-14(a) or 15d-14(a) under the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W. Johnson,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Johnson Outdoors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700" w:val="left"/>
          <w:tab w:leader="none" w:pos="5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2026</w:t>
      </w:r>
      <w:r>
        <w:rPr>
          <w:sz w:val="20"/>
          <w:szCs w:val="20"/>
          <w:color w:val="auto"/>
        </w:rPr>
        <w:tab/>
      </w:r>
      <w:r>
        <w:rPr>
          <w:rFonts w:ascii="Times New Roman" w:cs="Times New Roman" w:eastAsia="Times New Roman" w:hAnsi="Times New Roman"/>
          <w:sz w:val="17"/>
          <w:szCs w:val="17"/>
          <w:color w:val="auto"/>
        </w:rPr>
        <w:t>/s/ David 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276860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76860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W. Johnson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Written Statement of the Chairman and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Solely for the purposes of complying with 18 U.S.C. Section 1350, I, the undersigned Chairman and Chief Executive Officer of Johnson Outdoors Inc. (the “Company”), hereby certify that the Quarterly Report on Form 10-Q of the Company for the quarter ended April 3, 2026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Helen P. Johnson-Leipold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714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8714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Helen P. Johnson-Leipold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Written Statement of the Vice President and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Solely for the purposes of complying with 18 U.S.C. Section 1350, I, the undersigned Vice President and Chief Financial Officer of Johnson Outdoors Inc. (the “Company”), hereby certify that the Quarterly Report on Form 10-Q of the Company for the quarter ended April 3, 2026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714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8714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W. Johnson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2026</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certifications are made solely for the purpose of 18 U.S.C. Section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01"/>
    </w:lvl>
  </w:abstractNum>
  <w:abstractNum w:abstractNumId="7">
    <w:nsid w:val="12200854"/>
    <w:multiLevelType w:val="hybridMultilevel"/>
    <w:lvl w:ilvl="0">
      <w:lvlJc w:val="left"/>
      <w:lvlText w:val="%1"/>
      <w:numFmt w:val="decimal"/>
      <w:start w:val="1"/>
    </w:lvl>
    <w:lvl w:ilvl="1">
      <w:lvlJc w:val="left"/>
      <w:lvlText w:val="%2"/>
      <w:numFmt w:val="decimal"/>
      <w:start w:val="104"/>
    </w:lvl>
  </w:abstractNum>
  <w:abstractNum w:abstractNumId="8">
    <w:nsid w:val="4DB127F8"/>
    <w:multiLevelType w:val="hybridMultilevel"/>
    <w:lvl w:ilvl="0">
      <w:lvlJc w:val="left"/>
      <w:lvlText w:val="(%1)"/>
      <w:numFmt w:val="decimal"/>
      <w:start w:val="1"/>
    </w:lvl>
    <w:lvl w:ilvl="1">
      <w:lvlJc w:val="left"/>
      <w:lvlText w:val="%2"/>
      <w:numFmt w:val="decimal"/>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56" Type="http://schemas.openxmlformats.org/officeDocument/2006/relationships/hyperlink" Target="https://www.sec.gov/Archives/edgar/data/788329/000089706900000311/0000897069-00-000311.txt" TargetMode="External"/><Relationship Id="rId57" Type="http://schemas.openxmlformats.org/officeDocument/2006/relationships/hyperlink" Target="https://www.sec.gov/Archives/edgar/data/788329/000104216710000260/ex32jout2010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2026-05-08T14:16:56Z</dcterms:created>
  <dcterms:modified xsi:type="dcterms:W3CDTF">2026-05-08T14:16:56Z</dcterms:modified>
</cp:coreProperties>
</file>