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color w:val="000000"/>
          <w:sz w:val="28"/>
          <w:shd w:fill="FFFFFF" w:val="clear"/>
        </w:rPr>
      </w:pPr>
      <w:r>
        <w:rPr>
          <w:rFonts w:ascii="Times New Roman" w:hAnsi="Times New Roman"/>
          <w:color w:val="000000"/>
          <w:sz w:val="28"/>
          <w:shd w:fill="FFFFFF" w:val="clear"/>
        </w:rPr>
        <w:t>UNITED STATES</w:t>
      </w:r>
    </w:p>
    <w:p>
      <w:pPr>
        <w:pStyle w:val="TextBody"/>
        <w:bidi w:val="0"/>
        <w:spacing w:before="0" w:after="0"/>
        <w:jc w:val="center"/>
        <w:rPr>
          <w:rFonts w:ascii="Times New Roman" w:hAnsi="Times New Roman"/>
          <w:color w:val="000000"/>
          <w:sz w:val="28"/>
          <w:shd w:fill="FFFFFF" w:val="clear"/>
        </w:rPr>
      </w:pPr>
      <w:r>
        <w:rPr>
          <w:rFonts w:ascii="Times New Roman" w:hAnsi="Times New Roman"/>
          <w:color w:val="000000"/>
          <w:sz w:val="28"/>
          <w:shd w:fill="FFFFFF" w:val="clear"/>
        </w:rPr>
        <w:t>SECURITIES AND EXCHANGE COMMISSION</w:t>
      </w:r>
    </w:p>
    <w:p>
      <w:pPr>
        <w:pStyle w:val="TextBody"/>
        <w:bidi w:val="0"/>
        <w:spacing w:before="0" w:after="0"/>
        <w:jc w:val="center"/>
        <w:rPr>
          <w:rFonts w:ascii="Times New Roman" w:hAnsi="Times New Roman"/>
          <w:color w:val="000000"/>
          <w:sz w:val="24"/>
          <w:shd w:fill="FFFFFF" w:val="clear"/>
        </w:rPr>
      </w:pPr>
      <w:r>
        <w:rPr>
          <w:rFonts w:ascii="Times New Roman" w:hAnsi="Times New Roman"/>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center"/>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36"/>
          <w:shd w:fill="FFFFFF" w:val="clear"/>
        </w:rPr>
      </w:pPr>
      <w:r>
        <w:rPr>
          <w:rFonts w:ascii="Times New Roman" w:hAnsi="Times New Roman"/>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CURRENT REPORT</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Securities Exchange Act of 1934</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color w:val="000000"/>
          <w:sz w:val="20"/>
          <w:u w:val="single"/>
          <w:shd w:fill="FFFFFF" w:val="clear"/>
        </w:rPr>
        <w:t>March 4, 2026</w:t>
      </w:r>
    </w:p>
    <w:p>
      <w:pPr>
        <w:pStyle w:val="TextBody"/>
        <w:bidi w:val="0"/>
        <w:spacing w:before="0" w:after="0"/>
        <w:jc w:val="left"/>
        <w:rPr>
          <w:sz w:val="20"/>
        </w:rPr>
      </w:pPr>
      <w:r>
        <w:rPr>
          <w:sz w:val="20"/>
        </w:rPr>
      </w:r>
    </w:p>
    <w:tbl>
      <w:tblPr>
        <w:tblW w:w="4370" w:type="dxa"/>
        <w:jc w:val="left"/>
        <w:tblInd w:w="0" w:type="dxa"/>
        <w:tblLayout w:type="fixed"/>
        <w:tblCellMar>
          <w:top w:w="0" w:type="dxa"/>
          <w:left w:w="0" w:type="dxa"/>
          <w:bottom w:w="28" w:type="dxa"/>
          <w:right w:w="0" w:type="dxa"/>
        </w:tblCellMar>
      </w:tblPr>
      <w:tblGrid>
        <w:gridCol w:w="4370"/>
      </w:tblGrid>
      <w:tr>
        <w:trPr/>
        <w:tc>
          <w:tcPr>
            <w:tcW w:w="4370" w:type="dxa"/>
            <w:tcBorders>
              <w:bottom w:val="single" w:sz="12" w:space="0" w:color="000000"/>
            </w:tcBorders>
            <w:vAlign w:val="center"/>
          </w:tcPr>
          <w:p>
            <w:pPr>
              <w:pStyle w:val="TableContents"/>
              <w:bidi w:val="0"/>
              <w:spacing w:before="0" w:after="0"/>
              <w:jc w:val="center"/>
              <w:rPr>
                <w:rFonts w:ascii="Times New Roman" w:hAnsi="Times New Roman"/>
                <w:sz w:val="48"/>
              </w:rPr>
            </w:pPr>
            <w:r>
              <w:rPr>
                <w:rFonts w:ascii="Times New Roman" w:hAnsi="Times New Roman"/>
                <w:sz w:val="48"/>
              </w:rPr>
              <w:t>Johnson Outdoors Inc.</w:t>
            </w:r>
          </w:p>
        </w:tc>
      </w:tr>
      <w:tr>
        <w:trPr/>
        <w:tc>
          <w:tcPr>
            <w:tcW w:w="437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(Exact name of registrant as specified in charter)</w:t>
            </w:r>
          </w:p>
        </w:tc>
      </w:tr>
    </w:tbl>
    <w:p>
      <w:pPr>
        <w:pStyle w:val="TextBody"/>
        <w:bidi w:val="0"/>
        <w:spacing w:before="0" w:after="0"/>
        <w:jc w:val="left"/>
        <w:rPr>
          <w:sz w:val="20"/>
        </w:rPr>
      </w:pPr>
      <w:r>
        <w:rPr>
          <w:sz w:val="20"/>
        </w:rPr>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Wisconsin</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0-16255</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39-1536083</w:t>
            </w:r>
          </w:p>
        </w:tc>
      </w:tr>
      <w:tr>
        <w:trPr/>
        <w:tc>
          <w:tcPr>
            <w:tcW w:w="35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60" w:type="dxa"/>
            <w:tcBorders/>
            <w:tcMar>
              <w:bottom w:w="0" w:type="dxa"/>
            </w:tcMar>
            <w:vAlign w:val="center"/>
          </w:tcPr>
          <w:p>
            <w:pPr>
              <w:pStyle w:val="TableContents"/>
              <w:bidi w:val="0"/>
              <w:spacing w:before="0" w:after="0"/>
              <w:jc w:val="left"/>
              <w:rPr/>
            </w:pPr>
            <w:r>
              <w:rPr/>
              <w:t> </w:t>
            </w:r>
          </w:p>
        </w:tc>
        <w:tc>
          <w:tcPr>
            <w:tcW w:w="221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60" w:type="dxa"/>
            <w:tcBorders/>
            <w:tcMar>
              <w:bottom w:w="0" w:type="dxa"/>
            </w:tcMar>
            <w:vAlign w:val="center"/>
          </w:tcPr>
          <w:p>
            <w:pPr>
              <w:pStyle w:val="TableContents"/>
              <w:bidi w:val="0"/>
              <w:spacing w:before="0" w:after="0"/>
              <w:jc w:val="left"/>
              <w:rPr/>
            </w:pPr>
            <w:r>
              <w:rPr/>
              <w:t> </w:t>
            </w:r>
          </w:p>
        </w:tc>
        <w:tc>
          <w:tcPr>
            <w:tcW w:w="276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tbl>
      <w:tblPr>
        <w:tblW w:w="4850" w:type="dxa"/>
        <w:jc w:val="left"/>
        <w:tblInd w:w="0" w:type="dxa"/>
        <w:tblLayout w:type="fixed"/>
        <w:tblCellMar>
          <w:top w:w="0" w:type="dxa"/>
          <w:left w:w="0" w:type="dxa"/>
          <w:bottom w:w="28" w:type="dxa"/>
          <w:right w:w="0" w:type="dxa"/>
        </w:tblCellMar>
      </w:tblPr>
      <w:tblGrid>
        <w:gridCol w:w="4850"/>
      </w:tblGrid>
      <w:tr>
        <w:trPr/>
        <w:tc>
          <w:tcPr>
            <w:tcW w:w="485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555 Main Street, Racine, Wisconsin 53403</w:t>
            </w:r>
          </w:p>
        </w:tc>
      </w:tr>
      <w:tr>
        <w:trPr/>
        <w:tc>
          <w:tcPr>
            <w:tcW w:w="48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 including zip code)</w:t>
            </w:r>
          </w:p>
        </w:tc>
      </w:tr>
    </w:tbl>
    <w:p>
      <w:pPr>
        <w:pStyle w:val="TextBody"/>
        <w:bidi w:val="0"/>
        <w:spacing w:before="0" w:after="0"/>
        <w:jc w:val="left"/>
        <w:rPr>
          <w:sz w:val="20"/>
        </w:rPr>
      </w:pPr>
      <w:r>
        <w:rPr>
          <w:sz w:val="20"/>
        </w:rPr>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(262) 631-6600</w:t>
            </w:r>
          </w:p>
        </w:tc>
      </w:tr>
      <w:tr>
        <w:trPr/>
        <w:tc>
          <w:tcPr>
            <w:tcW w:w="435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(Registrant’s telephone number, including area code)</w:t>
            </w:r>
          </w:p>
        </w:tc>
      </w:tr>
    </w:tbl>
    <w:p>
      <w:pPr>
        <w:pStyle w:val="TextBody"/>
        <w:bidi w:val="0"/>
        <w:spacing w:before="0" w:after="0"/>
        <w:jc w:val="left"/>
        <w:rPr>
          <w:sz w:val="20"/>
        </w:rPr>
      </w:pPr>
      <w:r>
        <w:rPr>
          <w:sz w:val="20"/>
        </w:rPr>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Not Applicable</w:t>
            </w:r>
          </w:p>
        </w:tc>
      </w:tr>
      <w:tr>
        <w:trPr/>
        <w:tc>
          <w:tcPr>
            <w:tcW w:w="491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bidi w:val="0"/>
        <w:spacing w:before="0" w:after="0"/>
        <w:jc w:val="left"/>
        <w:rPr>
          <w:sz w:val="20"/>
        </w:rPr>
      </w:pPr>
      <w:r>
        <w:rPr>
          <w:sz w:val="20"/>
        </w:rPr>
      </w:r>
    </w:p>
    <w:p>
      <w:pPr>
        <w:pStyle w:val="TextBody"/>
        <w:bidi w:val="0"/>
        <w:spacing w:before="0" w:after="0"/>
        <w:ind w:left="0" w:right="0" w:firstLine="49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or to be registered pursuant to Section 12(b) of the Act:</w:t>
      </w:r>
    </w:p>
    <w:p>
      <w:pPr>
        <w:pStyle w:val="TextBody"/>
        <w:bidi w:val="0"/>
        <w:spacing w:before="0" w:after="0"/>
        <w:jc w:val="left"/>
        <w:rPr>
          <w:sz w:val="20"/>
        </w:rPr>
      </w:pPr>
      <w:r>
        <w:rPr>
          <w:sz w:val="20"/>
        </w:rPr>
      </w:r>
    </w:p>
    <w:tbl>
      <w:tblPr>
        <w:tblW w:w="8820" w:type="dxa"/>
        <w:jc w:val="left"/>
        <w:tblInd w:w="-15" w:type="dxa"/>
        <w:tblLayout w:type="fixed"/>
        <w:tblCellMar>
          <w:top w:w="28" w:type="dxa"/>
          <w:left w:w="28" w:type="dxa"/>
          <w:bottom w:w="28" w:type="dxa"/>
          <w:right w:w="28" w:type="dxa"/>
        </w:tblCellMar>
      </w:tblPr>
      <w:tblGrid>
        <w:gridCol w:w="3965"/>
        <w:gridCol w:w="1580"/>
        <w:gridCol w:w="3275"/>
      </w:tblGrid>
      <w:tr>
        <w:trPr/>
        <w:tc>
          <w:tcPr>
            <w:tcW w:w="39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5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32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39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$.05 par value per share</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JOUT</w:t>
            </w:r>
          </w:p>
        </w:tc>
        <w:tc>
          <w:tcPr>
            <w:tcW w:w="32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NASDAQ Global Select Market </w:t>
            </w:r>
            <w:r>
              <w:rPr>
                <w:rFonts w:ascii="Times New Roman" w:hAnsi="Times New Roman"/>
                <w:color w:val="000000"/>
                <w:position w:val="7"/>
                <w:sz w:val="16"/>
                <w:sz w:val="20"/>
              </w:rPr>
              <w:t>SM</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pPr>
            <w:r>
              <w:rPr/>
              <w:t>☐</w:t>
            </w:r>
          </w:p>
        </w:tc>
        <w:tc>
          <w:tcPr>
            <w:tcW w:w="7295" w:type="dxa"/>
            <w:tcBorders/>
            <w:vAlign w:val="center"/>
          </w:tcPr>
          <w:p>
            <w:pPr>
              <w:pStyle w:val="TableContents"/>
              <w:bidi w:val="0"/>
              <w:spacing w:before="0" w:after="0"/>
              <w:jc w:val="left"/>
              <w:rPr>
                <w:sz w:val="20"/>
              </w:rPr>
            </w:pPr>
            <w:r>
              <w:rPr>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both"/>
        <w:rPr>
          <w:rFonts w:ascii="Times New Roman" w:hAnsi="Times New Roman"/>
          <w:color w:val="211D1E"/>
          <w:sz w:val="20"/>
          <w:shd w:fill="FFFFFF" w:val="clear"/>
        </w:rPr>
      </w:pPr>
      <w:r>
        <w:rPr>
          <w:rFonts w:ascii="Times New Roman" w:hAnsi="Times New Roman"/>
          <w:color w:val="211D1E"/>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211D1E"/>
          <w:sz w:val="20"/>
          <w:shd w:fill="FFFFFF" w:val="clear"/>
        </w:rPr>
        <w:t>Emerging Growth Company</w:t>
      </w:r>
      <w:r>
        <w:rPr>
          <w:rFonts w:ascii="Times New Roman" w:hAnsi="Times New Roman"/>
          <w:color w:val="000000"/>
          <w:sz w:val="20"/>
          <w:shd w:fill="FFFFFF" w:val="clear"/>
        </w:rPr>
        <w:t>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211D1E"/>
          <w:sz w:val="20"/>
          <w:shd w:fill="FFFFFF" w:val="clear"/>
        </w:rPr>
      </w:pPr>
      <w:r>
        <w:rPr>
          <w:rFonts w:ascii="Times New Roman" w:hAnsi="Times New Roman"/>
          <w:color w:val="211D1E"/>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Section 5 – Corporate Governance and Management</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u w:val="single"/>
              </w:rPr>
              <w:t>Item 5.02</w:t>
            </w:r>
            <w:r>
              <w:rPr>
                <w:rFonts w:ascii="Times New Roman" w:hAnsi="Times New Roman"/>
                <w:b/>
                <w:sz w:val="20"/>
              </w:rPr>
              <w:t>.</w:t>
            </w:r>
          </w:p>
        </w:tc>
        <w:tc>
          <w:tcPr>
            <w:tcW w:w="945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Departure of Directors or Certain Officers; Election of Directors; Appointment of Certain Officers; Compensatory Arrangements of Certain Officers</w:t>
            </w:r>
            <w:r>
              <w:rPr>
                <w:rFonts w:ascii="Times New Roman" w:hAnsi="Times New Roman"/>
                <w:b/>
                <w:sz w:val="20"/>
              </w:rPr>
              <w:t>.</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March 4, 2026, David W. Johnson, Vice President and Chief Financial Officer of Johnson Outdoors Inc. (the “</w:t>
      </w:r>
      <w:r>
        <w:rPr>
          <w:rFonts w:ascii="Times New Roman" w:hAnsi="Times New Roman"/>
          <w:color w:val="000000"/>
          <w:sz w:val="20"/>
          <w:u w:val="single"/>
          <w:shd w:fill="FFFFFF" w:val="clear"/>
        </w:rPr>
        <w:t>Company</w:t>
      </w:r>
      <w:r>
        <w:rPr>
          <w:rFonts w:ascii="Times New Roman" w:hAnsi="Times New Roman"/>
          <w:color w:val="000000"/>
          <w:sz w:val="20"/>
          <w:shd w:fill="FFFFFF" w:val="clear"/>
        </w:rPr>
        <w:t>”), informed the Company of his intention to retire later this year. The Company is commencing a succession process to identify and retain a successor for Mr. Johnson and the Company expects that Mr. Johnson will assist and support the Company in the transition of his responsibilities to his successor.</w:t>
      </w:r>
    </w:p>
    <w:p>
      <w:pPr>
        <w:pStyle w:val="TextBody"/>
        <w:bidi w:val="0"/>
        <w:spacing w:before="0" w:after="0"/>
        <w:jc w:val="both"/>
        <w:rPr/>
      </w:pPr>
      <w:r>
        <w:rPr/>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Mr. Johnson has served as the Vice President and Chief Financial Officer (and as the principal financial and accounting officer) of the Company since November 2005.  Mr. Johnson’s decision to retire</w:t>
      </w:r>
      <w:r>
        <w:rPr>
          <w:rFonts w:ascii="Times New Roman" w:hAnsi="Times New Roman"/>
          <w:color w:val="FF0000"/>
          <w:sz w:val="20"/>
          <w:shd w:fill="FFFFFF" w:val="clear"/>
        </w:rPr>
        <w:t> </w:t>
      </w:r>
      <w:r>
        <w:rPr>
          <w:rFonts w:ascii="Times New Roman" w:hAnsi="Times New Roman"/>
          <w:color w:val="000000"/>
          <w:sz w:val="20"/>
          <w:shd w:fill="FFFFFF" w:val="clear"/>
        </w:rPr>
        <w:t>is not due to any disagreement with the Company concerning any of its financial statements or reporting matters or any of the Company’s policies and procedures.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Section 9 – Financial Statements and Exhibits</w:t>
      </w:r>
    </w:p>
    <w:p>
      <w:pPr>
        <w:pStyle w:val="TextBody"/>
        <w:bidi w:val="0"/>
        <w:spacing w:before="0" w:after="0"/>
        <w:jc w:val="left"/>
        <w:rPr>
          <w:sz w:val="20"/>
        </w:rPr>
      </w:pPr>
      <w:r>
        <w:rPr>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u w:val="single"/>
              </w:rPr>
              <w:t>Item 9.01</w:t>
            </w:r>
            <w:r>
              <w:rPr>
                <w:rFonts w:ascii="Times New Roman" w:hAnsi="Times New Roman"/>
                <w:b/>
                <w:sz w:val="20"/>
              </w:rPr>
              <w:t>.</w:t>
            </w:r>
          </w:p>
        </w:tc>
        <w:tc>
          <w:tcPr>
            <w:tcW w:w="296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u w:val="single"/>
              </w:rPr>
              <w:t>Financial Statements and Exhibits</w:t>
            </w:r>
            <w:r>
              <w:rPr>
                <w:rFonts w:ascii="Times New Roman" w:hAnsi="Times New Roman"/>
                <w:sz w:val="20"/>
              </w:rPr>
              <w:t>.</w:t>
            </w:r>
          </w:p>
        </w:tc>
      </w:tr>
    </w:tbl>
    <w:p>
      <w:pPr>
        <w:pStyle w:val="TextBody"/>
        <w:bidi w:val="0"/>
        <w:spacing w:before="0" w:after="0"/>
        <w:jc w:val="left"/>
        <w:rPr>
          <w:sz w:val="20"/>
        </w:rPr>
      </w:pPr>
      <w:r>
        <w:rPr>
          <w:sz w:val="20"/>
        </w:rPr>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w:t>
            </w:r>
          </w:p>
        </w:tc>
        <w:tc>
          <w:tcPr>
            <w:tcW w:w="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Exhibits</w:t>
            </w:r>
          </w:p>
        </w:tc>
      </w:tr>
    </w:tbl>
    <w:p>
      <w:pPr>
        <w:pStyle w:val="TextBody"/>
        <w:bidi w:val="0"/>
        <w:spacing w:before="0" w:after="0"/>
        <w:jc w:val="left"/>
        <w:rPr>
          <w:sz w:val="20"/>
        </w:rPr>
      </w:pPr>
      <w:r>
        <w:rPr>
          <w:sz w:val="20"/>
        </w:rPr>
      </w:r>
    </w:p>
    <w:p>
      <w:pPr>
        <w:pStyle w:val="TextBody"/>
        <w:bidi w:val="0"/>
        <w:spacing w:before="0" w:after="0"/>
        <w:ind w:left="1620" w:right="0" w:hanging="0"/>
        <w:jc w:val="both"/>
        <w:rPr>
          <w:rFonts w:ascii="Times New Roman" w:hAnsi="Times New Roman"/>
          <w:color w:val="000000"/>
          <w:sz w:val="20"/>
          <w:shd w:fill="FFFFFF" w:val="clear"/>
        </w:rPr>
      </w:pPr>
      <w:r>
        <w:rPr>
          <w:rFonts w:ascii="Times New Roman" w:hAnsi="Times New Roman"/>
          <w:color w:val="000000"/>
          <w:sz w:val="20"/>
          <w:shd w:fill="FFFFFF" w:val="clear"/>
        </w:rPr>
        <w:t>Exhibit 104 – Cover Page Interactive Data File (embedded within the Inline XBRL document).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894" w:type="dxa"/>
        <w:jc w:val="left"/>
        <w:tblInd w:w="0" w:type="dxa"/>
        <w:tblLayout w:type="fixed"/>
        <w:tblCellMar>
          <w:top w:w="0" w:type="dxa"/>
          <w:left w:w="0" w:type="dxa"/>
          <w:bottom w:w="0" w:type="dxa"/>
          <w:right w:w="0" w:type="dxa"/>
        </w:tblCellMar>
      </w:tblPr>
      <w:tblGrid>
        <w:gridCol w:w="1730"/>
        <w:gridCol w:w="320"/>
        <w:gridCol w:w="3749"/>
        <w:gridCol w:w="95"/>
      </w:tblGrid>
      <w:tr>
        <w:trPr/>
        <w:tc>
          <w:tcPr>
            <w:tcW w:w="1730" w:type="dxa"/>
            <w:tcBorders/>
            <w:vAlign w:val="center"/>
          </w:tcPr>
          <w:p>
            <w:pPr>
              <w:pStyle w:val="TableContents"/>
              <w:bidi w:val="0"/>
              <w:spacing w:before="0" w:after="283"/>
              <w:jc w:val="left"/>
              <w:rPr/>
            </w:pPr>
            <w:r>
              <w:rPr/>
              <w:t> </w:t>
            </w:r>
          </w:p>
        </w:tc>
        <w:tc>
          <w:tcPr>
            <w:tcW w:w="416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JOHNSON OUTDOORS INC.</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March 4, 2026</w:t>
            </w:r>
          </w:p>
        </w:tc>
        <w:tc>
          <w:tcPr>
            <w:tcW w:w="320"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4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Helen P. Johnson-Leipold</w:t>
            </w:r>
          </w:p>
        </w:tc>
        <w:tc>
          <w:tcPr>
            <w:tcW w:w="9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Helen P. Johnson-Leipold, Chairman and Chief</w:t>
            </w:r>
          </w:p>
          <w:p>
            <w:pPr>
              <w:pStyle w:val="TableContents"/>
              <w:bidi w:val="0"/>
              <w:spacing w:before="0" w:after="0"/>
              <w:ind w:left="180" w:right="0" w:hanging="0"/>
              <w:jc w:val="left"/>
              <w:rPr>
                <w:rFonts w:ascii="Times New Roman" w:hAnsi="Times New Roman"/>
                <w:sz w:val="20"/>
              </w:rPr>
            </w:pPr>
            <w:r>
              <w:rPr>
                <w:rFonts w:ascii="Times New Roman" w:hAnsi="Times New Roman"/>
                <w:sz w:val="20"/>
              </w:rPr>
              <w:t>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541</Words>
  <Characters>3009</Characters>
  <CharactersWithSpaces>3521</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