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2" w:lineRule="exact"/>
        <w:rPr>
          <w:sz w:val="24"/>
          <w:szCs w:val="24"/>
          <w:color w:val="auto"/>
        </w:rPr>
      </w:pPr>
    </w:p>
    <w:p>
      <w:pPr>
        <w:ind w:left="980" w:right="2120" w:hanging="954"/>
        <w:spacing w:after="0" w:line="255" w:lineRule="auto"/>
        <w:tabs>
          <w:tab w:leader="none" w:pos="9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October 3, 2025</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46" w:lineRule="exact"/>
        <w:rPr>
          <w:sz w:val="24"/>
          <w:szCs w:val="24"/>
          <w:color w:val="auto"/>
        </w:rPr>
      </w:pPr>
    </w:p>
    <w:p>
      <w:pPr>
        <w:ind w:left="980" w:right="2180" w:hanging="954"/>
        <w:spacing w:after="0" w:line="239" w:lineRule="auto"/>
        <w:tabs>
          <w:tab w:leader="none" w:pos="9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transition period from </w:t>
      </w:r>
      <w:r>
        <w:rPr>
          <w:rFonts w:ascii="Times New Roman" w:cs="Times New Roman" w:eastAsia="Times New Roman" w:hAnsi="Times New Roman"/>
          <w:sz w:val="18"/>
          <w:szCs w:val="18"/>
          <w:b w:val="1"/>
          <w:bCs w:val="1"/>
          <w:color w:val="auto"/>
        </w:rPr>
        <w:t>_____</w:t>
      </w:r>
      <w:r>
        <w:rPr>
          <w:rFonts w:ascii="Times New Roman" w:cs="Times New Roman" w:eastAsia="Times New Roman" w:hAnsi="Times New Roman"/>
          <w:sz w:val="18"/>
          <w:szCs w:val="18"/>
          <w:color w:val="auto"/>
        </w:rPr>
        <w:t xml:space="preserve">_ to </w:t>
      </w:r>
      <w:r>
        <w:rPr>
          <w:rFonts w:ascii="Times New Roman" w:cs="Times New Roman" w:eastAsia="Times New Roman" w:hAnsi="Times New Roman"/>
          <w:sz w:val="18"/>
          <w:szCs w:val="18"/>
          <w:b w:val="1"/>
          <w:bCs w:val="1"/>
          <w:color w:val="auto"/>
        </w:rPr>
        <w:t>_____</w:t>
      </w:r>
      <w:r>
        <w:rPr>
          <w:rFonts w:ascii="Times New Roman" w:cs="Times New Roman" w:eastAsia="Times New Roman" w:hAnsi="Times New Roman"/>
          <w:sz w:val="18"/>
          <w:szCs w:val="18"/>
          <w:color w:val="auto"/>
        </w:rPr>
        <w:t>_</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0-16255</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JOHNSON OUTDOORS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907" w:right="379" w:bottom="0" w:gutter="0" w:footer="0" w:header="0"/>
        </w:sectPr>
      </w:pPr>
    </w:p>
    <w:p>
      <w:pPr>
        <w:spacing w:after="0" w:line="2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Wisconsin</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39-1536083</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80" w:space="720"/>
            <w:col w:w="4000"/>
          </w:cols>
          <w:pgMar w:left="320" w:top="907" w:right="379" w:bottom="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555 Main Street, Racine, Wisconsin 53403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(262) 631-6600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360" w:type="dxa"/>
            <w:vAlign w:val="bottom"/>
            <w:gridSpan w:val="5"/>
          </w:tcPr>
          <w:p>
            <w:pPr>
              <w:ind w:left="2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9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$.05 par value per share</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JOUT</w:t>
            </w:r>
          </w:p>
        </w:tc>
        <w:tc>
          <w:tcPr>
            <w:tcW w:w="2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51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87"/>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12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432"/>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1220" w:type="dxa"/>
            <w:vAlign w:val="bottom"/>
            <w:gridSpan w:val="2"/>
          </w:tcPr>
          <w:p>
            <w:pPr>
              <w:ind w:left="240"/>
              <w:spacing w:after="0" w:line="207" w:lineRule="exact"/>
              <w:rPr>
                <w:sz w:val="20"/>
                <w:szCs w:val="20"/>
                <w:color w:val="auto"/>
              </w:rPr>
            </w:pPr>
            <w:r>
              <w:rPr>
                <w:rFonts w:ascii="Times New Roman" w:cs="Times New Roman" w:eastAsia="Times New Roman" w:hAnsi="Times New Roman"/>
                <w:sz w:val="18"/>
                <w:szCs w:val="18"/>
                <w:color w:val="auto"/>
                <w:w w:val="96"/>
              </w:rPr>
              <w:t xml:space="preserve">Yes </w:t>
            </w: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No </w:t>
            </w:r>
            <w:r>
              <w:rPr>
                <w:rFonts w:ascii="MS PGothic" w:cs="MS PGothic" w:eastAsia="MS PGothic" w:hAnsi="MS PGothic"/>
                <w:sz w:val="18"/>
                <w:szCs w:val="18"/>
                <w:color w:val="auto"/>
                <w:w w:val="96"/>
              </w:rPr>
              <w:t>☒</w:t>
            </w:r>
          </w:p>
        </w:tc>
      </w:tr>
    </w:tbl>
    <w:p>
      <w:pPr>
        <w:spacing w:after="0" w:line="170"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4"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8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907" w:right="379" w:bottom="0" w:gutter="0" w:footer="0" w:header="0"/>
          <w:type w:val="continuous"/>
        </w:sectPr>
      </w:pPr>
    </w:p>
    <w:p>
      <w:pPr>
        <w:spacing w:after="0" w:line="311" w:lineRule="exact"/>
        <w:rPr>
          <w:sz w:val="24"/>
          <w:szCs w:val="24"/>
          <w:color w:val="auto"/>
        </w:rPr>
      </w:pPr>
    </w:p>
    <w:p>
      <w:pPr>
        <w:ind w:left="1480"/>
        <w:spacing w:after="0" w:line="274" w:lineRule="auto"/>
        <w:rPr>
          <w:sz w:val="20"/>
          <w:szCs w:val="20"/>
          <w:color w:val="auto"/>
        </w:rPr>
      </w:pPr>
      <w:r>
        <w:rPr>
          <w:rFonts w:ascii="Times New Roman" w:cs="Times New Roman" w:eastAsia="Times New Roman" w:hAnsi="Times New Roman"/>
          <w:sz w:val="18"/>
          <w:szCs w:val="18"/>
          <w:color w:val="auto"/>
        </w:rPr>
        <w:t>Large Accelerated Filer Accelerated Filer Non-Accelerated Filer Smaller Reporting Company Emerging Growth Company</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90" w:lineRule="exact"/>
        <w:rPr>
          <w:sz w:val="24"/>
          <w:szCs w:val="24"/>
          <w:color w:val="auto"/>
        </w:rPr>
      </w:pPr>
    </w:p>
    <w:p>
      <w:pPr>
        <w:sectPr>
          <w:pgSz w:w="11900" w:h="16838" w:orient="portrait"/>
          <w:cols w:equalWidth="0" w:num="2">
            <w:col w:w="3560" w:space="240"/>
            <w:col w:w="7400"/>
          </w:cols>
          <w:pgMar w:left="320" w:top="907" w:right="379" w:bottom="0" w:gutter="0" w:footer="0" w:header="0"/>
          <w:type w:val="continuous"/>
        </w:sectPr>
      </w:pPr>
    </w:p>
    <w:p>
      <w:pPr>
        <w:spacing w:after="0" w:line="63"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00"/>
          </w:cols>
          <w:pgMar w:left="320" w:top="907" w:right="379" w:bottom="0" w:gutter="0" w:footer="0" w:header="0"/>
          <w:type w:val="continuous"/>
        </w:sectPr>
      </w:pPr>
    </w:p>
    <w:bookmarkStart w:id="1" w:name="page2"/>
    <w:bookmarkEnd w:id="1"/>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tabs>
          <w:tab w:leader="none" w:pos="86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of November 28, 2025, 9,203,034 shares of Class A and 1,206,210 shares of Class B common stock of the registrant were outstanding. The aggregate market value of voting and non-voting common stock of the registrant held by non-affiliates of the registrant was approximately $135,000,000 on March 28, 2025 (the last business day of the registrant’s most recently completed fiscal second quarter) based on approximately 5,464,000 shares of Class A common stock held by non-affiliates as of such date. For purposes of this calculation only, shares of all voting stock are deemed to have a market value of $24.91 per share, the closing price of the Class A common stock as reported on the NASDAQ Global Select Market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on March 28, 2025 (the last trading day of the registrant’s most recently completed fiscal second quarter). Shares of common stock held by any executive officer or director of the registrant (including all shares beneficially owned by the Johnson Family, as defined herein) have been excluded from this computation because such persons may be deemed to be affiliates. This determination of affiliate status is not a conclusive determination for other purposes.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Proxy Statement for the 2026 Annual Meeting of the Shareholders of the Registrant are incorporated by reference into Part III of this report.</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“we,” “us,” “our,” “Johnson Outdoors” and the “Company” mean Johnson Outdoors Inc. and its subsidiaries collectively, unless the context indicates another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7800" w:type="dxa"/>
            <w:vAlign w:val="bottom"/>
            <w:gridSpan w:val="19"/>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35"/>
        </w:trPr>
        <w:tc>
          <w:tcPr>
            <w:tcW w:w="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9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160" w:type="dxa"/>
            <w:vAlign w:val="bottom"/>
            <w:gridSpan w:val="2"/>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0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gridSpan w:val="2"/>
          </w:tcPr>
          <w:p>
            <w:pPr>
              <w:ind w:left="98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0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000" w:type="dxa"/>
            <w:vAlign w:val="bottom"/>
            <w:tcBorders>
              <w:bottom w:val="single" w:sz="8" w:color="CCEEFF"/>
            </w:tcBorders>
            <w:gridSpan w:val="13"/>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14</w:t>
            </w: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0000FF"/>
              </w:rPr>
              <w:t>14</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Properties</w:t>
            </w:r>
          </w:p>
        </w:tc>
        <w:tc>
          <w:tcPr>
            <w:tcW w:w="8320" w:type="dxa"/>
            <w:vAlign w:val="bottom"/>
            <w:tcBorders>
              <w:bottom w:val="single" w:sz="8" w:color="CCEEFF"/>
            </w:tcBorders>
            <w:gridSpan w:val="24"/>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280" w:type="dxa"/>
            <w:vAlign w:val="bottom"/>
            <w:tcBorders>
              <w:bottom w:val="single" w:sz="8" w:color="CCEEFF"/>
            </w:tcBorders>
            <w:gridSpan w:val="15"/>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Reserved</w:t>
            </w:r>
          </w:p>
        </w:tc>
        <w:tc>
          <w:tcPr>
            <w:tcW w:w="8380" w:type="dxa"/>
            <w:vAlign w:val="bottom"/>
            <w:tcBorders>
              <w:bottom w:val="single" w:sz="8" w:color="CCEEFF"/>
            </w:tcBorders>
            <w:gridSpan w:val="25"/>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tcBorders>
              <w:bottom w:val="single" w:sz="8" w:color="CCEEFF"/>
            </w:tcBorders>
            <w:gridSpan w:val="7"/>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25</w:t>
            </w: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2160" w:type="dxa"/>
            <w:vAlign w:val="bottom"/>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25</w:t>
            </w:r>
          </w:p>
        </w:tc>
      </w:tr>
      <w:tr>
        <w:trPr>
          <w:trHeight w:val="189"/>
        </w:trPr>
        <w:tc>
          <w:tcPr>
            <w:tcW w:w="20" w:type="dxa"/>
            <w:vAlign w:val="bottom"/>
            <w:tcBorders>
              <w:top w:val="single" w:sz="8" w:color="CCEEFF"/>
            </w:tcBorders>
          </w:tcPr>
          <w:p>
            <w:pPr>
              <w:spacing w:after="0"/>
              <w:rPr>
                <w:sz w:val="16"/>
                <w:szCs w:val="16"/>
                <w:color w:val="auto"/>
              </w:rPr>
            </w:pPr>
          </w:p>
        </w:tc>
        <w:tc>
          <w:tcPr>
            <w:tcW w:w="6480" w:type="dxa"/>
            <w:vAlign w:val="bottom"/>
            <w:tcBorders>
              <w:top w:val="single" w:sz="8" w:color="0000FF"/>
            </w:tcBorders>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580" w:type="dxa"/>
            <w:vAlign w:val="bottom"/>
            <w:tcBorders>
              <w:top w:val="single" w:sz="8" w:color="CCEEFF"/>
            </w:tcBorders>
            <w:gridSpan w:val="3"/>
          </w:tcPr>
          <w:p>
            <w:pPr>
              <w:spacing w:after="0"/>
              <w:rPr>
                <w:sz w:val="16"/>
                <w:szCs w:val="16"/>
                <w:color w:val="auto"/>
              </w:rPr>
            </w:pPr>
          </w:p>
        </w:tc>
        <w:tc>
          <w:tcPr>
            <w:tcW w:w="2160" w:type="dxa"/>
            <w:vAlign w:val="bottom"/>
            <w:tcBorders>
              <w:top w:val="single" w:sz="8" w:color="CCEEFF"/>
            </w:tcBorders>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26</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740" w:type="dxa"/>
            <w:vAlign w:val="bottom"/>
            <w:tcBorders>
              <w:bottom w:val="single" w:sz="8" w:color="CCEEFF"/>
            </w:tcBorders>
            <w:gridSpan w:val="18"/>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26</w:t>
            </w: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27</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0000FF"/>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60" w:type="dxa"/>
            <w:vAlign w:val="bottom"/>
            <w:tcBorders>
              <w:bottom w:val="single" w:sz="8" w:color="CCEEFF"/>
            </w:tcBorders>
            <w:gridSpan w:val="8"/>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27</w:t>
            </w: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300" w:type="dxa"/>
            <w:vAlign w:val="bottom"/>
            <w:tcBorders>
              <w:bottom w:val="single" w:sz="8" w:color="0000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760" w:type="dxa"/>
            <w:vAlign w:val="bottom"/>
            <w:tcBorders>
              <w:bottom w:val="single" w:sz="8" w:color="CCEEFF"/>
            </w:tcBorders>
            <w:gridSpan w:val="2"/>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160" w:type="dxa"/>
            <w:vAlign w:val="bottom"/>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6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7500" w:type="dxa"/>
            <w:vAlign w:val="bottom"/>
            <w:gridSpan w:val="16"/>
            <w:shd w:val="clear" w:color="auto" w:fill="CCEEFF"/>
          </w:tcPr>
          <w:p>
            <w:pPr>
              <w:spacing w:after="0"/>
              <w:rPr>
                <w:sz w:val="16"/>
                <w:szCs w:val="16"/>
                <w:color w:val="auto"/>
              </w:rPr>
            </w:pPr>
          </w:p>
        </w:tc>
        <w:tc>
          <w:tcPr>
            <w:tcW w:w="2160" w:type="dxa"/>
            <w:vAlign w:val="bottom"/>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0000FF"/>
              </w:rPr>
              <w:t>30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500" w:type="dxa"/>
            <w:vAlign w:val="bottom"/>
            <w:gridSpan w:val="16"/>
          </w:tcPr>
          <w:p>
            <w:pPr>
              <w:spacing w:after="0"/>
              <w:rPr>
                <w:sz w:val="16"/>
                <w:szCs w:val="16"/>
                <w:color w:val="auto"/>
              </w:rPr>
            </w:pP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0000FF"/>
              </w:rPr>
              <w:t>30</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Exhibit Index</w:t>
            </w:r>
          </w:p>
        </w:tc>
        <w:tc>
          <w:tcPr>
            <w:tcW w:w="8060" w:type="dxa"/>
            <w:vAlign w:val="bottom"/>
            <w:gridSpan w:val="21"/>
            <w:shd w:val="clear" w:color="auto" w:fill="CCEEFF"/>
          </w:tcPr>
          <w:p>
            <w:pPr>
              <w:spacing w:after="0"/>
              <w:rPr>
                <w:sz w:val="16"/>
                <w:szCs w:val="16"/>
                <w:color w:val="auto"/>
              </w:rPr>
            </w:pPr>
          </w:p>
        </w:tc>
        <w:tc>
          <w:tcPr>
            <w:tcW w:w="2160" w:type="dxa"/>
            <w:vAlign w:val="bottom"/>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0000FF"/>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Consolidated Financial Statements</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matters discussed in this Form 10-K are “forward-looking statements,” and the Company intends these forward-looking statements to be covered by the safe harbor provisions for forward-looking statements contained in the Private Securities Litigation Reform Act of 1995 and is including this statement for purposes of those safe harbor provisions. These statements may be identified by the use of forward-looking words or phrases such as “anticipate,” “believe,” “confident,” “could,” “expect,” “intend,” “may,” “planned,” “potential,” “should,” “will,” “would” or the negative of those terms or other words of similar meaning. Similarly, statements that describe the Company’s future plans, objectives or goals are also forward-looking statements. Such forward-looking statements are subject to certain risks and uncertainties which could cause actual results or outcomes to differ materially from those currently anticipated.</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Factors that could affect actual results or outcomes include the matters described under the caption “Risk Factors” in Item 1A of this report and the following: changes in economic conditions, consumer confidence levels and discretionary spending patterns in key markets; uncertainties stemming from political instability (and its impact on the economies in jurisdictions where the Company has operations), changes in US trade policies, tariffs, and the reaction of other countries to such changes; the global outbreaks of disease, which may affect market and economic conditions and may have wide-ranging impacts on employees, customers and various aspects of our operations; the Company’s success in implementing its strategic plan, including its targeted sales growth platforms, innovation focus, and its increasing digital presence; litigation costs related to actions of and disputes with third parties, including competitors; the Company’s continued success in working capital management and cost-structure reductions; the Company’s success in integrating strategic acquisitions; the risk of future writedowns of goodwill or other long-lived assets; the ability of the Company's customers to meet payment obligations; the impact of actions of the Company's competitors with respect to product development or enhancement or the introduction of new products into the Company's markets; movements in foreign currencies, interest rates or commodity costs; fluctuations in the prices of raw materials or the availability of raw materials or components used by the Company; any disruptions in the Company's supply</w:t>
      </w: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chain as a result of material fluctuations in the Company's order volumes and requirements for raw materials and other components, or the demand for those same raw materials and components by third parties, necessary to manufacture and produce the Company's products, including related to shortages in procuring necessary raw materials and components to manufacture and produce such products; the success of the Company’s suppliers and customers and the impact of any consolidation in the industries of the Company's suppliers and customers; the ability of the Company to deploy its capital successfully; unanticipated outcomes related to outsourcing certain manufacturing processes; unanticipated outcomes related to litigation matters; and adverse weather conditions. Shareholders, potential investors and other readers are urged to consider these factors in evaluating the forward-looking statements and are cautioned not to place undue reliance on such forward-looking statements. The forward-looking statements included herein are only made as of the date of this filing. The Company assumes no obligation, and disclaims any obligation, to update such forward-looking statements to reflect subsequent events or circumstances.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registered the following trademarks, among others, which may be used in this report: Minn Kota®, Cannon®, Humminbird®, Jetboil®, Old Town®, Carlisle® and SCUBAPRO®.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Johnson Outdoors is a leading global manufacturer and marketer of branded seasonal, outdoor recreation products used primarily for fishing from a boat, diving, paddling, hiking and camping. The Company’s portfolio of well-known consumer brands has attained leading market positions due to innovation, marketing excellence, product performance and quality. Company values and culture support innovation in all areas, promoting and leveraging best practices and synergies within and across its subsidiaries to advance the Company’s strategic vision set by executive management and approved by the Board of Directors. The Company is controlled by Helen P. Johnson-Leipold (Chairman and Chief Executive Officer), members of her family and related entities.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incorporated in Wisconsin in 1987 as successor to various businesses.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Fishing</w:t>
      </w:r>
    </w:p>
    <w:p>
      <w:pPr>
        <w:spacing w:after="0" w:line="25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The Company’s Fishing segment key brands are: </w:t>
      </w:r>
      <w:r>
        <w:rPr>
          <w:rFonts w:ascii="Times New Roman" w:cs="Times New Roman" w:eastAsia="Times New Roman" w:hAnsi="Times New Roman"/>
          <w:sz w:val="18"/>
          <w:szCs w:val="18"/>
          <w:b w:val="1"/>
          <w:bCs w:val="1"/>
          <w:color w:val="auto"/>
        </w:rPr>
        <w:t>Minn Kota</w:t>
      </w:r>
      <w:r>
        <w:rPr>
          <w:rFonts w:ascii="Times New Roman" w:cs="Times New Roman" w:eastAsia="Times New Roman" w:hAnsi="Times New Roman"/>
          <w:sz w:val="18"/>
          <w:szCs w:val="18"/>
          <w:color w:val="auto"/>
        </w:rPr>
        <w:t xml:space="preserve"> electric motors for quiet trolling or primary propulsion, marine battery chargers and shallow water anchors; </w:t>
      </w:r>
      <w:r>
        <w:rPr>
          <w:rFonts w:ascii="Times New Roman" w:cs="Times New Roman" w:eastAsia="Times New Roman" w:hAnsi="Times New Roman"/>
          <w:sz w:val="18"/>
          <w:szCs w:val="18"/>
          <w:b w:val="1"/>
          <w:bCs w:val="1"/>
          <w:color w:val="auto"/>
        </w:rPr>
        <w:t>Humminbird</w:t>
      </w:r>
      <w:r>
        <w:rPr>
          <w:rFonts w:ascii="Times New Roman" w:cs="Times New Roman" w:eastAsia="Times New Roman" w:hAnsi="Times New Roman"/>
          <w:sz w:val="18"/>
          <w:szCs w:val="18"/>
          <w:color w:val="auto"/>
        </w:rPr>
        <w:t xml:space="preserve"> sonar and GPS equipment for fish finding, navigation and marine cartography; and </w:t>
      </w:r>
      <w:r>
        <w:rPr>
          <w:rFonts w:ascii="Times New Roman" w:cs="Times New Roman" w:eastAsia="Times New Roman" w:hAnsi="Times New Roman"/>
          <w:sz w:val="18"/>
          <w:szCs w:val="18"/>
          <w:b w:val="1"/>
          <w:bCs w:val="1"/>
          <w:color w:val="auto"/>
        </w:rPr>
        <w:t>Cannon</w:t>
      </w:r>
      <w:r>
        <w:rPr>
          <w:rFonts w:ascii="Times New Roman" w:cs="Times New Roman" w:eastAsia="Times New Roman" w:hAnsi="Times New Roman"/>
          <w:sz w:val="18"/>
          <w:szCs w:val="18"/>
          <w:color w:val="auto"/>
        </w:rPr>
        <w:t xml:space="preserve"> downriggers for controlled-depth fishing.</w:t>
      </w:r>
    </w:p>
    <w:p>
      <w:pPr>
        <w:spacing w:after="0" w:line="202"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Minn Kota trolling motors and shallow water anchors and Cannon downriggers are designed and manufactured primarily at the Company's Mankato, Minnesota facility. Humminbird sonar and GPS equipment are designed and manufactured primarily in Eufaula, Alabama and Alpharetta, Georgia.</w:t>
      </w:r>
    </w:p>
    <w:p>
      <w:pPr>
        <w:spacing w:after="0" w:line="167"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8"/>
          <w:szCs w:val="18"/>
          <w:color w:val="auto"/>
        </w:rPr>
        <w:t>Fishing brands and related accessories are sold across the globe, with the majority of sales coming from North America through large outdoor specialty retailers, such as Bass Pro Shops and Scheels; large retail store chains; distributors that service independent marine, sporting goods and internet dealers; and original equipment manufacturers (OEM) of boat brands such as Tracker, Skeeter and Ranger. The Company also sells direct to consumers via its Minn Kota, Humminbird and Cannon websites. Markets outside of North America are accessed through a network of independent international distributors. The Company markets its Fishing brands through several media channels, and is focused on innovation leadership, reliable technology, and quality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Camping &amp; Watercraft Recreation</w:t>
      </w:r>
    </w:p>
    <w:p>
      <w:pPr>
        <w:spacing w:after="0" w:line="25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 xml:space="preserve">The Company’s Camping &amp; Watercraft segment key brands are: </w:t>
      </w:r>
      <w:r>
        <w:rPr>
          <w:rFonts w:ascii="Times New Roman" w:cs="Times New Roman" w:eastAsia="Times New Roman" w:hAnsi="Times New Roman"/>
          <w:sz w:val="18"/>
          <w:szCs w:val="18"/>
          <w:b w:val="1"/>
          <w:bCs w:val="1"/>
          <w:color w:val="auto"/>
        </w:rPr>
        <w:t>Jetboil</w:t>
      </w:r>
      <w:r>
        <w:rPr>
          <w:rFonts w:ascii="Times New Roman" w:cs="Times New Roman" w:eastAsia="Times New Roman" w:hAnsi="Times New Roman"/>
          <w:sz w:val="18"/>
          <w:szCs w:val="18"/>
          <w:color w:val="auto"/>
        </w:rPr>
        <w:t xml:space="preserve"> portable outdoor cooking systems, </w:t>
      </w:r>
      <w:r>
        <w:rPr>
          <w:rFonts w:ascii="Times New Roman" w:cs="Times New Roman" w:eastAsia="Times New Roman" w:hAnsi="Times New Roman"/>
          <w:sz w:val="18"/>
          <w:szCs w:val="18"/>
          <w:b w:val="1"/>
          <w:bCs w:val="1"/>
          <w:color w:val="auto"/>
        </w:rPr>
        <w:t>Old Town</w:t>
      </w:r>
      <w:r>
        <w:rPr>
          <w:rFonts w:ascii="Times New Roman" w:cs="Times New Roman" w:eastAsia="Times New Roman" w:hAnsi="Times New Roman"/>
          <w:sz w:val="18"/>
          <w:szCs w:val="18"/>
          <w:color w:val="auto"/>
        </w:rPr>
        <w:t xml:space="preserve"> canoes and kayaks, and </w:t>
      </w:r>
      <w:r>
        <w:rPr>
          <w:rFonts w:ascii="Times New Roman" w:cs="Times New Roman" w:eastAsia="Times New Roman" w:hAnsi="Times New Roman"/>
          <w:sz w:val="18"/>
          <w:szCs w:val="18"/>
          <w:b w:val="1"/>
          <w:bCs w:val="1"/>
          <w:color w:val="auto"/>
        </w:rPr>
        <w:t>Carlisle</w:t>
      </w:r>
      <w:r>
        <w:rPr>
          <w:rFonts w:ascii="Times New Roman" w:cs="Times New Roman" w:eastAsia="Times New Roman" w:hAnsi="Times New Roman"/>
          <w:sz w:val="18"/>
          <w:szCs w:val="18"/>
          <w:color w:val="auto"/>
        </w:rPr>
        <w:t xml:space="preserve"> branded paddles.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Jetboil portable outdoor cooking systems, single burner and two burner stoves, and accessories are sold in the U.S. and Canada, primarily to camping and backpacking specialty stores, sporting goods stores, internet retailers, and direct to consumer via the Jetboil brand website. Markets outside of North America are accessed through a network of independent international distributors. Marketing of Jetboil systems is focused on building brand awareness and leadership in product features and innovation, primarily through digital marketing and social media. Jetboil products are designed at the Company’s operating locations in Old Town, Maine, and manufactured by third party sources in Asia.</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designs and markets canoes, kayaks and advanced personal watercraft equipment and products under the Old Town brand name for family recreation, touring and angling. Old Town products are manufactured at the Company’s facility in Old Town, Maine.</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Accessory brands, including Carlisle branded paddles, are produced primarily by third party sources located in North America and Asia. The company's personal flotation devices are manufactured by third party sources located in Asia and are sold under the Old Town brand.</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kayaks, canoes and accessories are sold through multiple channels primarily in the U.S. and Canada with an emphasis on independent specialty dealers and outdoor specialty chain retailers. The Company also sells products direct to consumers via the Old Town website, and internet retailer sites.</w:t>
      </w:r>
    </w:p>
    <w:p>
      <w:pPr>
        <w:spacing w:after="0" w:line="20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Marketing of brands is focused on building brand awareness and leadership in product features and innovation, primarily through digital marketing and social media.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Diving</w:t>
      </w:r>
    </w:p>
    <w:p>
      <w:pPr>
        <w:spacing w:after="0" w:line="25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 xml:space="preserve">The Company manufactures and markets underwater diving products for recreational divers, which it sells and distributes under the </w:t>
      </w:r>
      <w:r>
        <w:rPr>
          <w:rFonts w:ascii="Times New Roman" w:cs="Times New Roman" w:eastAsia="Times New Roman" w:hAnsi="Times New Roman"/>
          <w:sz w:val="18"/>
          <w:szCs w:val="18"/>
          <w:b w:val="1"/>
          <w:bCs w:val="1"/>
          <w:color w:val="auto"/>
        </w:rPr>
        <w:t>SCUBAPRO</w:t>
      </w:r>
      <w:r>
        <w:rPr>
          <w:rFonts w:ascii="Times New Roman" w:cs="Times New Roman" w:eastAsia="Times New Roman" w:hAnsi="Times New Roman"/>
          <w:sz w:val="18"/>
          <w:szCs w:val="18"/>
          <w:color w:val="auto"/>
        </w:rPr>
        <w:t xml:space="preserve"> brand name.</w:t>
      </w:r>
    </w:p>
    <w:p>
      <w:pPr>
        <w:spacing w:after="0" w:line="1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markets a complete line of underwater diving and snorkeling equipment, including regulators, buoyancy compensators, dive computers and gauges, wetsuits, masks, fins, snorkels and accessories.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manufactures and assembles buoyancy compensators, regulators, dive computers, gauges, and instruments at its Italian, Indonesian, and South African facilities, and for certain makes or models, from other third party manufacturers. The Company designs and develops diving and snorkeling soft goods, proprietary materials, and other components from third party contract manufacturers.</w:t>
      </w:r>
    </w:p>
    <w:p>
      <w:pPr>
        <w:spacing w:after="0" w:line="20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SCUBAPRO diving equipment is marketed to the premium recreational segment and high-performance technical diving market. Products are sold via select distribution to independent specialty dive stores worldwide. These specialty dive stores generally provide a wide range of services to divers, including regular maintenance, product repair, diving education and travel programs. The Company also sells diving gear direct to consumers via the SCUBAPRO website, internet retailers, and to dive training centers, resorts and public safety units.</w:t>
      </w:r>
    </w:p>
    <w:p>
      <w:pPr>
        <w:spacing w:after="0" w:line="207"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Company markets its equipment via websites, through social media, through information and displays in dive specialty stores, and in diving magazines.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for Business Segments</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noted above, the Company has three reportable business segments. See Note 13 to the consolidated financial statements included elsewhere in this report for financial information concerning each business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25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See Note 13 to the consolidated financial statements included elsewhere in this report for financial information regarding the Company’s domestic and international operations. See Note 1, subheading “Foreign Operations and Related Derivative Financial Instruments,” to the consolidated financial statements included elsewhere in this report, along with the information under “Risk Factors” below, for information regarding risks related to the Company’s foreign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commits significant resources to new product research and development in each of its business segments. Fishing conducts its product research, design, engineering and software development activities at its locations in Mankato and Little Falls, Minnesota; Alpharetta, Georgia; Toronto, Canada; and Eufaula, Alabama. Diving maintains research and development facilities in Zurich, Switzerland; Durban, South Africa; and Casarza Ligure, Italy. Research and development activities for Watercraft Recreation products are performed in Old Town, Maine and Racine, Wisconsin. Product research, design and innovation for Camping products are conducted at the Company's Racine, Wisconsin, and Old Town, Maine locations.</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except for software development for new electronics products and bathymetry data collection and processing. These software development and bathymetry data collection and processing costs are capitalized once technological feasibility is established and then amortized over the expected useful life of the software or database. The amounts expensed by the Company in connection with research and development activities for each of the last three fiscal years are set forth in the Company’s Consolidated Statements of Operations included elsewhere in this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Environment</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believes its products compete favorably on the basis of product innovation, product performance and marketing support and, to a lesser extent, price.</w:t>
      </w:r>
    </w:p>
    <w:p>
      <w:pPr>
        <w:spacing w:after="0" w:line="18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Fishing: </w:t>
      </w:r>
      <w:r>
        <w:rPr>
          <w:rFonts w:ascii="Times New Roman" w:cs="Times New Roman" w:eastAsia="Times New Roman" w:hAnsi="Times New Roman"/>
          <w:sz w:val="18"/>
          <w:szCs w:val="18"/>
          <w:color w:val="auto"/>
        </w:rPr>
        <w:t>Minn Kota’s primary competitors in the electric trolling motors business are Lowrance, owned by Brunswick Corporation, Garmin and Power-Pole. In addition, Power-Pole is Minn Kota's main competitor in the shallow water anchor business. Competition in both businesses is focused on technological innovation, product quality and durability as well as product features and benefits for fishing.</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Humminbird’s main competitors in the market for on-boat electronics are Garmin and Lowrance. Competition in this business is primarily focused on the quality of sonar imaging and display, easy to use graphical interfaces as well as the integration of mapping and GPS technology.</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Cannon’s main competitors in the downrigger market are Big Jon Sports, Walker and Scotty. Competition in this business primarily focuses on ease of operation, speed and durability.</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Camping &amp; Watercraft Recreation: </w:t>
      </w:r>
      <w:r>
        <w:rPr>
          <w:rFonts w:ascii="Times New Roman" w:cs="Times New Roman" w:eastAsia="Times New Roman" w:hAnsi="Times New Roman"/>
          <w:sz w:val="18"/>
          <w:szCs w:val="18"/>
          <w:color w:val="auto"/>
        </w:rPr>
        <w:t>The Company’s portable outdoor cooking systems compete in the specialty and higher end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backpacking and camping markets. The primary competitor in portable outdoor cooking systems is MSR. Competition in this market is based on product size and weight, ease of use, reliability and performance.</w:t>
      </w:r>
    </w:p>
    <w:p>
      <w:pPr>
        <w:spacing w:after="0" w:line="20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Company's kayak and canoe product categories its main competitors are Hobie, Pelican International Inc., Wenonah Canoe, Jackson Kayak and Legacy Paddlesports, each of which competes on the basis of their product’s design, performance, quality and price.</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Diving: </w:t>
      </w:r>
      <w:r>
        <w:rPr>
          <w:rFonts w:ascii="Times New Roman" w:cs="Times New Roman" w:eastAsia="Times New Roman" w:hAnsi="Times New Roman"/>
          <w:sz w:val="18"/>
          <w:szCs w:val="18"/>
          <w:color w:val="auto"/>
        </w:rPr>
        <w:t>The main competitors in the Diving segment include Aqua Lung, Suunto, Atomic Aquatics, Oceanic, Cressi and Mares. Competitive advantage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life support product category of this segment, which consists of regulators, dive computers, and buoyancy compensators, is a function of product innovation, performance, quality and safety. Competition in the general diving product category of fins, masks, snorkels and wetsuits is characterized by low barriers to entry and numerous competitors who compete on the basis of product innovation, performance, quality and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Unfilled orders for future delivery of products varies as a result of numerous factors impacting the Company (including those described in the section titled “Risk Factors” below) and because of the non-binding nature of such orders, the Company does not believe that backlog information is material to the understanding of its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October 3, 2025, the Company had approximately 1,300 regular, full-time employees, of which approximately 950 were employed in the United States and approximately 350 were employed outside of the United States. Approximately 50 or 4% were represented by a collective bargaining agreement, all of whom are located at our facilities in Batam, Indonesia. In recent years, we have not experienced any significant work slowdowns, stoppages, or other labor disruptions. The Company considers its employee relations to be excellent. Temporary employees are utilized primarily to manage peaks in the seasonal manufacturing of products. See "Seasonality" below for additional information on the seasonal nature of our business.</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remains committed to areas of work place safety, product quality and customer satisfaction. Successful execution of our mission is dependent on attracting, developing and retaining key employees and members of our management team, as well as providing competitive pay and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Proprietary Rights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holds patents for various of the products it sells and regularly files applications for patents. The Company has numerous trademarks and trade names which it considers important to its business, many of which are noted in this report. Historically, the Company has vigorously defended its intellectual property rights and expects to continue to do so.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and Sourcing of Materials</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manufactures some products that use parts or materials that, due to geographical distance, limited supplier capacity or availability or competing demands for such parts or materials, are only available in a cost effective manner from a single vendor or require the Company to place orders several months in advance of required delivery.</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attempts to mitigate product availability and these supply chain risks when possible through the purchase of safety stock, use of forecast-based supply contracts, and, to a lesser extent, with just in time inventory deliveries or supplier-owned inventory located close to the Company’s manufacturing locations. In doing so, the Company strives to balance the businesses’ need to maintain adequate inventory levels with the cost of holding such inventory by manufacturing to forecast for high volume products, utilizing build-to-order strategies wherever possible, and by having contract-manufactured products delivered to customers directly from the supplier. The Company also seeks to manage its inventory through on-going product design and logistical initiatives with its suppliers to reduce lead times.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products in each of its business segments are primarily warm-weather and outdoor recreation-related, which has historically resulted in seasonal variations in sales and profitability for the Company. This seasonal variability was traditionally due to customers’ increasing their inventories in the quarters ending March and June, which is the typical primary selling season for the Company’s outdoor recreation products, with lower inventory volumes during the quarters ending September and December. The Company mitigates the seasonality of its businesses somewhat by encouraging customers to purchase and take delivery of products more evenly through the year. The following table shows, for the past three fiscal years, the total consolidated net sales and operating profit or loss of the Company for each quarter, as a percentage of the total year.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Fiscal Year</w:t>
            </w:r>
          </w:p>
        </w:tc>
        <w:tc>
          <w:tcPr>
            <w:tcW w:w="13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41"/>
        </w:trPr>
        <w:tc>
          <w:tcPr>
            <w:tcW w:w="29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auto"/>
            </w:tcBorders>
          </w:tcPr>
          <w:p>
            <w:pPr>
              <w:spacing w:after="0"/>
              <w:rPr>
                <w:sz w:val="20"/>
                <w:szCs w:val="20"/>
                <w:color w:val="auto"/>
              </w:rPr>
            </w:pPr>
          </w:p>
        </w:tc>
      </w:tr>
      <w:tr>
        <w:trPr>
          <w:trHeight w:val="175"/>
        </w:trPr>
        <w:tc>
          <w:tcPr>
            <w:tcW w:w="2940" w:type="dxa"/>
            <w:vAlign w:val="bottom"/>
          </w:tcPr>
          <w:p>
            <w:pPr>
              <w:spacing w:after="0"/>
              <w:rPr>
                <w:sz w:val="15"/>
                <w:szCs w:val="15"/>
                <w:color w:val="auto"/>
              </w:rPr>
            </w:pPr>
          </w:p>
        </w:tc>
        <w:tc>
          <w:tcPr>
            <w:tcW w:w="9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Net</w:t>
            </w:r>
          </w:p>
        </w:tc>
        <w:tc>
          <w:tcPr>
            <w:tcW w:w="1880" w:type="dxa"/>
            <w:vAlign w:val="bottom"/>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tcPr>
          <w:p>
            <w:pPr>
              <w:jc w:val="right"/>
              <w:ind w:right="570"/>
              <w:spacing w:after="0" w:line="176" w:lineRule="exact"/>
              <w:rPr>
                <w:sz w:val="20"/>
                <w:szCs w:val="20"/>
                <w:color w:val="auto"/>
              </w:rPr>
            </w:pPr>
            <w:r>
              <w:rPr>
                <w:rFonts w:ascii="Times New Roman" w:cs="Times New Roman" w:eastAsia="Times New Roman" w:hAnsi="Times New Roman"/>
                <w:sz w:val="18"/>
                <w:szCs w:val="18"/>
                <w:color w:val="auto"/>
              </w:rPr>
              <w:t>Net</w:t>
            </w:r>
          </w:p>
        </w:tc>
        <w:tc>
          <w:tcPr>
            <w:tcW w:w="1320" w:type="dxa"/>
            <w:vAlign w:val="bottom"/>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Operating</w:t>
            </w:r>
          </w:p>
        </w:tc>
        <w:tc>
          <w:tcPr>
            <w:tcW w:w="140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Net</w:t>
            </w: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Operating</w:t>
            </w:r>
          </w:p>
        </w:tc>
      </w:tr>
      <w:tr>
        <w:trPr>
          <w:trHeight w:val="250"/>
        </w:trPr>
        <w:tc>
          <w:tcPr>
            <w:tcW w:w="2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Quarter Ended</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Sales</w:t>
            </w:r>
          </w:p>
        </w:tc>
        <w:tc>
          <w:tcPr>
            <w:tcW w:w="1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Loss</w:t>
            </w: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Sales</w:t>
            </w: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Loss</w:t>
            </w: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Sales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Profit (Loss)</w:t>
            </w:r>
          </w:p>
        </w:tc>
      </w:tr>
      <w:tr>
        <w:trPr>
          <w:trHeight w:val="230"/>
        </w:trPr>
        <w:tc>
          <w:tcPr>
            <w:tcW w:w="29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December</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18 %</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125 %</w:t>
            </w:r>
          </w:p>
        </w:tc>
        <w:tc>
          <w:tcPr>
            <w:tcW w:w="16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23 %</w:t>
            </w:r>
          </w:p>
        </w:tc>
        <w:tc>
          <w:tcPr>
            <w:tcW w:w="1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0 %</w:t>
            </w:r>
          </w:p>
        </w:tc>
        <w:tc>
          <w:tcPr>
            <w:tcW w:w="14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2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March</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1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30 %</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1 %</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0"/>
        </w:trPr>
        <w:tc>
          <w:tcPr>
            <w:tcW w:w="29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June</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c>
          <w:tcPr>
            <w:tcW w:w="16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29 %</w:t>
            </w:r>
          </w:p>
        </w:tc>
        <w:tc>
          <w:tcPr>
            <w:tcW w:w="1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1 %</w:t>
            </w:r>
          </w:p>
        </w:tc>
        <w:tc>
          <w:tcPr>
            <w:tcW w:w="14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28 %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7"/>
        </w:trPr>
        <w:tc>
          <w:tcPr>
            <w:tcW w:w="2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September</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1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50 %</w:t>
            </w: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18 %</w:t>
            </w: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98 %</w:t>
            </w: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15 %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6"/>
        </w:trPr>
        <w:tc>
          <w:tcPr>
            <w:tcW w:w="29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18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100 %</w:t>
            </w: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100 %</w:t>
            </w:r>
          </w:p>
        </w:tc>
        <w:tc>
          <w:tcPr>
            <w:tcW w:w="14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100 %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 and Climate Change; Social Responsibility</w:t>
      </w:r>
    </w:p>
    <w:p>
      <w:pPr>
        <w:spacing w:after="0" w:line="24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The Company is subject to various supranational, federal, state and local environmental laws, ordinances, regulations, and other requirements of governmental authorities that relate to the generation, storage, transport, treatment and disposals of materials as a result of our manufacturing and production operations. We believe we comply with such laws and regulations. Expenditures on environmental compliance have not had, and we believe in the future, are not expected to have, a material adverse effect on the Company’s capital expenditures, earnings or competitive position. We do not believe that any direct or indirect consequences of legislation related to climate change will have a material adverse effect on our operating costs, facilities or products. However, risk of environmental liability and charges associated with maintaining compliance with environmental laws is inherent in the nature of the Company’s business and there is no assurance that material liabilities or charges could not arise.</w:t>
      </w:r>
    </w:p>
    <w:p>
      <w:pPr>
        <w:spacing w:after="0" w:line="21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We are committed to conducting business and making decisions honestly, fairly and within the law, and are guided by the values and beliefs embodied in our “Code of Conduct.” We are dedicated to earning and keeping the trust and confidence of our shareholders, customers and associates as well as the communities where we do business. Our “Code of Conduct” provides guidelines and a framework for conducting business in an ethical manner. We have adopted policies that seek to promote integrity, an ethical work environment, valuing diversity and promoting financial integrity and responsibility, while at the same time prohibiting unethical and illegal practices. In addition, we annually compile and file a Form SD with the Securities and Exchange Commission regarding “Conflict Minerals Disclosure and Report” as directed by the Dodd-Frank Wall Street Reform and Consumer Protection Act of 2010. The purpose of this report is to help prevent purchasing products used to finance or benefit armed groups in the covered countries of this filing.</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The Company maintains a website at www.johnsonoutdoors.com. On its website, the Company makes available, free of charge, its Annual Report on Form 10-K, quarterly reports on Form 10-Q, current reports on Form 8-K and amendments to those reports, as soon as reasonably practical after the reports have been electronically filed or furnished to the Securities and Exchange Commission. In addition, the Company makes available on its website, free of charge, its (a) proxy statement for its annual meeting of shareholders; (b) Code of Conduct; (c) Code of Ethics for its Chief Executive Officer and Senior Financial and Accounting Officers; (d) the charters for the following committees of the Board of Directors: Audit; Compensation; Executive; and Nominating and Corporate Governance; and (e) Corporate Governance Guidelines, Insider Trading Policy, Incentive Compensation Recovery Policy, and Stock Ownership Guidelines for directors and executive officers. Except as specifically provided herein, the Company is not including the information contained on or available through its website as a part of, or incorporating such information by reference into, this Annual Report on Form 10-K. This report includes all material information about the Company that is included on the Company’s website and is otherwise required to be included in this report. Copies of any materials the Company files with the Securities and Exchange Commission (SEC) can also be obtained free of charge through the SEC’s website at www.sec.gov. The SEC’s Public Reference Room can be contacted at 100 F Street, N.E., Washington, D.C. 20549, or by calling 1 (800) 732-0330.</w:t>
      </w:r>
    </w:p>
    <w:p>
      <w:pPr>
        <w:spacing w:after="0" w:line="20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risks described below are not the only risks we face. Additional risks that we do not yet know of or that we currently think are immaterial may also impair our future business operations. If any of the events or circumstances described in the following risks actually occur, our business, financial condition or results of operations could be materially adversely affected. In such cases, the trading price of our common stock could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 sales and profitability depend on our ability to continue to conceive, design and market products that appeal to our consumers.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continue to conceive, design, manufacture and market new products and upon continued market acceptance of our product offering. As described elsewhere in this Report, product research and development is an important component of our success and our market strategy. Rapidly changing consumer preferences and trends make it difficult to predict how long consumer demand for our existing products will continue or what new products will be successful. A decline in consumer demand for our products, our failure to develop new products on a timely basis in anticipation of changing consumer preferences or the failure of our new products to achieve and sustain consumer acceptance could reduce our net sales and profitability.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disputes relating to our products could increase our costs.</w:t>
      </w:r>
    </w:p>
    <w:p>
      <w:pPr>
        <w:spacing w:after="0" w:line="25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industry is susceptible to litigation regarding patent infringement and infringement of other intellectual property rights. We could be either a plaintiff or a defendant in trademark, patent and/or other intellectual property infringement or misappropriation claims and claims of breach of license from time to time. The prosecution or defense of any intellectual property litigation is both costly and disruptive of the time and resources of our management and product development teams, even if the claim or defense against us is without merit. The scope of any patent or other intellectual property to which we have or may obtain rights also may not prevent others from developing and selling competing products. The validity and breadth of claims covered in patents and other intellectual property involve complex legal and factual questions, and the resolution of such claims may be highly uncertain, lengthy and expensive. In addition, our patents or other intellectual property may be held invalid upon challenge, or others may claim that we have improperly or invalidly sought patent or other intellectual property protection for our technology, thus exposing us to direct or counter claims in any patent or intellectual property proceeding. We could also be required to pay substantial damages or settlement costs to resolve intellectual property litigation. Furthermore, we may rely on trade secret law to protect technologies and proprietary information that we cannot or have chosen not to patent. Trade secrets, however, are difficult to protect. Although we attempt to maintain protection through confidentiality agreements with necessary personnel, contractors and consultants, we cannot guarantee that such contracts will not be breached. In the event of a breach of a confidentiality agreement or the divulgence of proprietary information, we may not have adequate legal remedies to maintain our trade secret protection. Litigation to determine the scope of intellectual property rights, even if ultimately successful, could be costly and could divert management’s attention away from the Company’s business. Any of these negative events could adversely affect our profitability or operating results.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recalls and other claims could affect our financial position and results of operations.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manufacturer and distributor of consumer products, we could be required to repurchase or recall one or more of our products if they are found to not meet quality or safety standards or be defective. A repurchase or recall of our products could be costly to us and could damage the reputation of our brands. If we were required to remove, or voluntarily remove our products from the market, our reputation could be tarnished and we might have large quantities of finished products that we could not sell. As a result, product recalls could have a material adverse effect on our business, results of operations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difficulties in integrating strategic acquisitions.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as part of our strategy, historically pursued strategic acquisitions. The pursuit of future growth through acquisitions involves significant risks that could have a material adverse effect on our business. Risks associated with integrating strategic acquisitions include, but are not limited to:</w:t>
      </w:r>
    </w:p>
    <w:p>
      <w:pPr>
        <w:spacing w:after="0" w:line="189" w:lineRule="exact"/>
        <w:rPr>
          <w:sz w:val="20"/>
          <w:szCs w:val="20"/>
          <w:color w:val="auto"/>
        </w:rPr>
      </w:pPr>
    </w:p>
    <w:p>
      <w:pPr>
        <w:ind w:left="440" w:hanging="31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relating to the integration of acquired businesses may increase our expenses and reduce our profitability;</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planned cost savings and synergies may increase our expenses;</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management or operational problems or liabilities may adversely affect our profitability and financial condition; and/or</w:t>
      </w:r>
    </w:p>
    <w:p>
      <w:pPr>
        <w:spacing w:after="0" w:line="9" w:lineRule="exact"/>
        <w:rPr>
          <w:rFonts w:ascii="Times New Roman" w:cs="Times New Roman" w:eastAsia="Times New Roman" w:hAnsi="Times New Roman"/>
          <w:sz w:val="18"/>
          <w:szCs w:val="18"/>
          <w:color w:val="auto"/>
        </w:rPr>
      </w:pPr>
    </w:p>
    <w:p>
      <w:pPr>
        <w:ind w:left="460" w:right="160" w:hanging="331"/>
        <w:spacing w:after="0" w:line="260" w:lineRule="auto"/>
        <w:tabs>
          <w:tab w:leader="none" w:pos="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the representations or warranties or other violations of the contractual obligations required by the acquisition agreement of other parties to the acquisition transaction and any contractual remedies related thereto may not adequately protect or compensate 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upon certain key members of management.</w:t>
      </w:r>
    </w:p>
    <w:p>
      <w:pPr>
        <w:spacing w:after="0" w:line="25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Our success will depend to a significant degree on the abilities and efforts of our senior management. Moreover, our success depends on our ability to attract, retain and motivate qualified management, marketing, technical and sales personnel. These people are in high demand and often have competing employment opportunities. The labor market for skilled employees is highly competitive and we may lose key employees or be forced to increase their compensation to retain these people. Employee turnover could significantly increase our recruitment, training and other related employee costs. The loss of key personnel, or the failure to attract qualified personnel, could have a material adverse effect on our business, financial condition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our credit facilities to provide us with sufficient working capital to operate our business.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of the historic seasonal nature of our business, we have from time to time relied upon our credit facilities to provide us with adequate working capital to operate our business. To the extent we again become more dependent upon our credit facilities to fund our operations, if our lenders reduce or terminate our access to amounts under our credit facilities, we may not have sufficient capital to fund our working capital needs and/or we may need to secure additional capital or financing to fund our working capital requirements or to repay outstanding debt under our credit facilities. We can make no assurance that we will be successful in ensuring our availability of amounts under our credit facilities when they are needed or in connection with raising additional capital and that any amount, if raised, will be sufficient to meet our cash flow requirements. In the event we do not have available cash balances on hand for funding future operations, and if we are not able to maintain our borrowing availability under our credit facilities at that time and/or raise additional capital when needed, we may be forced to sharply curtail our efforts to manufacture and promote the sale of our products or to curtail our operations.</w:t>
      </w:r>
    </w:p>
    <w:p>
      <w:pPr>
        <w:spacing w:after="0" w:line="21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debt covenants may limit our ability to complete acquisitions, incur debt, make investments, sell assets, merge or complete other significant transactions.</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credit facilities and certain other of our debt instruments include limitations on a number of our activities in the event of a default, and in some cases regardless of whether a default has occurred, including our ability to:</w:t>
      </w:r>
    </w:p>
    <w:p>
      <w:pPr>
        <w:spacing w:after="0" w:line="162" w:lineRule="exact"/>
        <w:rPr>
          <w:sz w:val="20"/>
          <w:szCs w:val="20"/>
          <w:color w:val="auto"/>
        </w:rPr>
      </w:pPr>
    </w:p>
    <w:p>
      <w:pPr>
        <w:ind w:left="440" w:hanging="311"/>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our assets or make guarantees;</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or loans; or</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or sell assets, make acquisitions above certain amounts or enter into a merger or similar transaction.</w:t>
      </w:r>
    </w:p>
    <w:p>
      <w:pPr>
        <w:spacing w:after="0" w:line="2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Although in recent periods we have not had to borrow funds under our credit facilities, we still are required to comply with certain restrictive covenants in our credit facilities, any of which may limit our ability to engage in acts that may be in our best</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long term interests. Additionally, a breach of any of the restrictive covenants in our credit facilities could result in a default under these facilities. If a default occurs while we have borrowing amounts outstanding, the lenders under our credit facilities may elect to declare all outstanding borrowings, together with accrued interest, to be immediately due and payable, to terminate any commitments they have to provide further borrowings and to exercise any other rights they have under the facilities or applicable law.</w:t>
      </w: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disruptions or failures in our information technology systems and network infrastructures that could have a material adverse effect on our business.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We also hold data in various company-owned and third party data center facilities upon which our business depends. A disruption, infiltration, breach or failure of these information technology systems or any of these data centers as a result of software or hardware malfunctions, system implementations or upgrades, computer viruses,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Any of these events could result in the loss of key information, impair our production and supply chain processes, harm our competitive position, damage our reputation with customers, cause us to incur significant costs to remedy any damages and ultimately materially and adversely affect our business, results of operations and financial condition. While we have implemented a number of protective measures, such measures may not be adequate or implemented properly to prevent or fully address the adverse effect of such events.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manage our inventory levels could have a material adverse effect on our business.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ensure we are able to meet customer demand in a highly seasonal business, and to account for long lead times or disruptions in supply chain, we may at times purchase components or materials in advance of normal timing for issuing purchase orders or at greater levels than existing purchase orders on hand. If we or our customers overestimate demand, or if demand is impacted by factors outside of our customers' control, and anticipated sales ultimately do not materialize or are lower than expected, we may experience higher inventory carrying and operating costs and/or increased excess or obsolete inventory or reserve charges, which would negatively impact our results of operations and profitability. Moreover, inventory levels in excess of customer demand may result in lower than planned financial performance. Alternatively, if we underestimate demand for our products, we may experience inventory shortages resulting in delays in fulfilling customer demands while we work to replenish inventory levels, missed sales and/or lost revenues.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over global tariffs, or the financial impact of tariffs, may negatively affect our results.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is impacted by international or cross-border trade, including the import and export of products and goods into and out of the United States and trade tensions among nations. For example, U.S. domestic and global tariff frameworks have increased our costs of producing goods and resulted in additional risks to our supply chain. More tariff changes are also possible. We have developed strategies to mitigate, in part, previously implemented and, in some cases, proposed tariff increases, but there is no assurance we will be able to continue to mitigate the materially adverse impact of tariff increases on our financial and operating results. Further, uncertainties about future tariff changes could result in mitigation actions undertaken by us that could prove to be detrimental to our business and our relationships with our customers and suppliers. The scope of the tariffs and the rates at which they are implemented may continue to fluctuate and change in an unpredictable manner that further complicates our ability to implement mitigation 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effective tax rate of the Company may be negatively impacted by future changes to tax laws in global jurisdictions in which we operate.</w:t>
      </w:r>
    </w:p>
    <w:p>
      <w:pPr>
        <w:spacing w:after="0" w:line="2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Changes in tax laws or tax rulings could have a material impact on our effective tax rate. Many countries in the European Union, as well as a number of other countries and organizations such as the Organization for Economic Cooperation and Development, are actively considering changes to existing tax laws. Certain proposals could include recommendations that could increase our tax obligations in many countries where we do business. Any changes in the taxation of our activities in such jurisdictions may result in a material increase in our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environmental, climate change, safety and human rights regulations and legislation.</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subject to supranational, federal, state, local and foreign laws and other legal requirements related to the generation, storage, transport, treatment and disposal of materials as a result of our manufacturing and assembly operations. These laws</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include the Resource Conservation and Recovery Act (as amended), the Clean Air Act (as amended) and the Comprehensive Environmental Response, Compensation and Liability Act (as amended), as well as similar laws in foreign jurisdictions. Risk of environmental liability and changes associated with maintaining compliance with environmental laws is inherent in the nature of our business and there is no assurance that material liabilities or changes would not arise.</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also subject to various supranational, federal, state and local environmental, laws, ordinances, regulations and other legislation or requirements of governmental authorities as it relates to climate change. We believe we comply with such laws and regulations as such laws are currently in place. Moreover, we do not believe that any direct or indirect consequences of any currently contemplated legislation related to climate change will have a material adverse effect on our operating costs, facilities, or products. However, evolving regulatory and legislative measures related to protecting against climate change could ultimately pose a risk to our business by influencing the buying patterns of our customers or increasing internal compliance costs.</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also subject to the requirement of Section 1502 of the Dodd-Frank Wall Street Reform and Consumer Protection Act and SEC rules related thereto to conduct due diligence and disclose and report on whether certain minerals and metals, known as “conflict minerals,” are contained in the Company’s products and whether they originate from the Democratic Republic of Congo (“DRC”) and adjoining countries. We may face reputational challenges if we determine that certain of our products contain minerals not determined to be conflict free or if we are unable to sufficiently verify the origins of all conflict minerals used in our products through the procedures we implement.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adequately protect personal information could have a material adverse effect on our business.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wide variety of local, state, national, and international laws, directives and regulations apply to the collection, use, retention, protection, disclosure, transfer, and other processing of personal data (including with respect to the European Union's General Data Protection Regulation and U.S. state laws such as the California Consumer Privacy Act). These data protection and privacy-related laws and regulations continue to evolve and may result in ever-increasing regulatory and public scrutiny and escalating levels of enforcement and sanctions and increased costs of compliance. Our failure to comply with applicable laws and regulations, or to protect such data, could result in enforcement actions against us, including fines, imprisonment of company officials and public censure, claims for damages by end-customers and other affected individuals, damage to our reputation and loss of goodwill (both in relation to existing end-customers and prospective end-customers), any of which could have a material adverse effect on our operations, financial performance, and business. Changing definitions of personal data and personal information, within the European Union, the United States, and elsewhere may limit or inhibit our ability to operate or expand our business, including limiting strategic partnerships that may involve the sharing of data. The evolving data protection regulatory environment may require significant management attention and financial resources to analyze and modify our information technology infrastructure to meet these changing requirements all of which could reduce our operating margins and impact our operating results and financial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and Economic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consolidation and financial distress in our markets could reduce our net sales, profitability and cash flows.</w:t>
      </w:r>
    </w:p>
    <w:p>
      <w:pPr>
        <w:spacing w:after="0" w:line="25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operate in highly competitive markets. We compete with several large domestic and foreign companies such as Brunswick, Garmin, and Aqua Lung, with private label products sold by many of our retail customers and with other producers of outdoor recreation products. Some of our competitors have longer operating histories, stronger brand recognition and greater financial, technical, marketing and other resources than us. In addition, due to limited barriers to entry in some of the product industries we engage in, we may face competition from new participants in our markets or from existing participants developing and introducing new products into our market segments. Further, we experience price competition for our products, and competition for shelf space at retailers, all of which may increase in the future. Consolidation of our retail markets could result in fewer but larger retail customers, which may further result in lower selling prices or reduced sales volumes of our products or greater competition for shelf space in these retail markets. Further, financial distress or bankruptcies in our retail markets could negatively impact our operating results and cash flows. If we cannot compete in our product markets successfully in the future, our net sales, profitability and cash flows will likely decline.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 affect the Company’s results.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revenues are affected by economic conditions and consumer confidence worldwide, but especially in the United States and Europe. In times of economic uncertainty, consumers tend to defer expenditures for discretionary items, which affects demand for our products. Moreover, our businesses are cyclical and seasonal in nature, and their success is impacted by general economic conditions and specific economic conditions affecting the regions and markets we serve, the overall level of consumer confidence in the economy and discretionary income levels. Any substantial deterioration in general economic</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conditions that diminishes consumer confidence or discretionary income can reduce our sales and adversely affect our financial results. Moreover, declining economic conditions create the potential for future impairments of goodwill and other intangible and long-lived assets that may negatively impact our financial condition and results of operations. Various uncertainties tied to economic conditions, including significant adverse changes in business climate, adverse actions by regulators, unanticipated competition, loss of key customers, a downturn in the economy or in discretionary income levels or changes in consumer preferences could impact the expected cash flows to be generated by an asset or group of assets, and may result in an impairment of those assets. The impact of weak consumer credit markets, corporate restructurings, layoffs, prolonged high unemployment rates, declines in the value of investments and residential real estate, higher fuel prices and increases in federal and state taxation all can negatively affect our operating results.</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noted above, because a substantial majority of our net revenue is generated through discretionary spending by consumers for our outdoor recreation products, a downturn in the economy resulting from prolonged supply chain disruptions or labor shortages, a significant increase in inflation rates (including in connection with rising interest rates through government action to fight inflationary trends), or a reduction in consumer confidence in the U.S. economy may have a material adverse impact on our business, financial condition and results of operations, as consumers generally reduce their discretionary spending during such periods.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experience elevated inflation in the markets in which we operate, with higher commodity, labor, freight and other cost pressure. While many costs may moderate over time, higher inflation rates could cause increases in wage levels, price increases from our suppliers, and could also negatively impact consumer confidence and discretionary spending patterns, all of which can adversely impact our sales levels and cost structure. The inability to offset inflationary price increases through price increases from our customers, modifications to our products, continuous improvement actions or otherwise may have a material adverse effect on our financial results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limited number of our shareholders can exert significant influence over the Company.</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October 3, 2025, Helen P. Johnson-Leipold, members of her family and related entities (hereinafter the Johnson Family), held approximately 75% of the voting power of both classes of our common stock taken as a whole. This voting power would permit these shareholders, if they chose to act together, to exert significant influence over the outcome of shareholder votes, including votes concerning the election of directors, by-law amendments, possible mergers, corporate control contests and other significant corporate transactions. Moreover, certain members of the Johnson Family have entered into a voting trust agreement covering approximately 99% of our outstanding class B common shares. This voting trust agreement permits these shareholders, if they continue to choose to act together, to exert significant influence over the outcome of shareholder votes, including votes concerning the election of directors, by-law amendments, possible mergers, corporate control contests and other significant corporate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shares of common stock are thinly traded and our stock price may be volatile.</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Because our common stock is thinly traded, its market price may fluctuate significantly more than the stock market in general or the stock prices of similar companies, which are exchanged, listed or quoted on NASDAQ or another stock exchange. We believe there are approximately 5,433,000 shares of our Class A common stock held by non-affiliates as of October 3, 2025. Thus, our common stock will be less liquid than the stock of companies with broader public ownership, and as a result, the trading price for our shares of common stock may be more volatile. Among other things, trading of a relatively small volume of our common stock may have a greater impact on the trading price for our stock than would be the case if our public float were larger.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is volatile and our shareholders may not be able to resell shares of Class A Common Stock at or above the price they paid.</w:t>
      </w:r>
    </w:p>
    <w:p>
      <w:pPr>
        <w:spacing w:after="0" w:line="24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is highly volatile and could be subject to wide fluctuations in response to various factors, some of which are beyond our control. These factors include:</w:t>
      </w:r>
    </w:p>
    <w:p>
      <w:pPr>
        <w:spacing w:after="0" w:line="175" w:lineRule="exact"/>
        <w:rPr>
          <w:sz w:val="20"/>
          <w:szCs w:val="20"/>
          <w:color w:val="auto"/>
        </w:rPr>
      </w:pPr>
    </w:p>
    <w:p>
      <w:pPr>
        <w:ind w:left="440" w:hanging="31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earnings trends or with respect to any cost-cutting actions or other strategic transactions involving Johnson Outdoors;</w:t>
      </w:r>
    </w:p>
    <w:p>
      <w:pPr>
        <w:spacing w:after="0" w:line="27" w:lineRule="exact"/>
        <w:rPr>
          <w:rFonts w:ascii="Times New Roman" w:cs="Times New Roman" w:eastAsia="Times New Roman" w:hAnsi="Times New Roman"/>
          <w:sz w:val="18"/>
          <w:szCs w:val="18"/>
          <w:color w:val="auto"/>
        </w:rPr>
      </w:pPr>
    </w:p>
    <w:p>
      <w:pPr>
        <w:ind w:left="460" w:right="740" w:hanging="331"/>
        <w:spacing w:after="0" w:line="25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and disruptions in, the sourcing, timing, availability and cost of raw materials and components necessary for the production of our products;</w:t>
      </w:r>
    </w:p>
    <w:p>
      <w:pPr>
        <w:ind w:left="440" w:hanging="31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product development efforts of Johnson Outdoors or competitors;</w:t>
      </w:r>
    </w:p>
    <w:p>
      <w:pPr>
        <w:spacing w:after="0" w:line="9" w:lineRule="exact"/>
        <w:rPr>
          <w:rFonts w:ascii="Times New Roman" w:cs="Times New Roman" w:eastAsia="Times New Roman" w:hAnsi="Times New Roman"/>
          <w:sz w:val="18"/>
          <w:szCs w:val="18"/>
          <w:color w:val="auto"/>
        </w:rPr>
      </w:pPr>
    </w:p>
    <w:p>
      <w:pPr>
        <w:ind w:left="460" w:right="520" w:hanging="331"/>
        <w:spacing w:after="0" w:line="25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customer or supplier contracts, including with respect to any government contracts or grants;</w:t>
      </w:r>
    </w:p>
    <w:p>
      <w:pPr>
        <w:ind w:left="440" w:hanging="31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weather events, pandemics, or other natural disasters;</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left="440" w:hanging="311"/>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Johnson Outdoors' or its competitors' intellectual property or other proprietary rights;</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our executive officers and directors or our significant shareholders in the future;</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liquid, and orderly market in our Class A Common Stock;</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the shares of our Class A Common Stock.</w:t>
      </w:r>
    </w:p>
    <w:p>
      <w:pPr>
        <w:spacing w:after="0" w:line="23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equity securities in companies principally operating in the outdoor leisure or discretionary recreational product markets, have experienced periods of high volatility that have been often unrelated to the operating performance of the issuer. These broad market fluctuations may adversely affect the trading price or liquidity of our Class A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and fluctuations in market prices of raw materials can affect our operating results.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primary raw materials we use in manufacturing our products are metals, resins, electronic components, and packaging materials. These materials are generally available from a number of suppliers, but traditionally we have chosen to concentrate our sourcing with a limited number of vendors for each commodity or purchased component. Although we believe our sources of raw materials are reliable and adequate for our current needs, adverse events in our supply chain may impact the pricing or availability of required raw materials and components to manufacture our products.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profitability is also affected by significant fluctuations in the prices of the raw materials and components we use in our products, including the effect of fluctuations in foreign currency exchange rates on raw materials and purchased components. We may not be able to pass along any price increases in our raw materials or other component costs to our customers. As a result, an increase in the cost of raw materials, labor or other costs associated with the manufacturing of our products could increase our costs of sales and reduce our gross margins.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distress in supply chain and shortage of raw materials or components of supply.</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Deteriorating industry conditions can adversely affect our supply base. Lower production levels at our major suppliers and volatility in certain raw material and energy costs may result in severe financial distress among many companies within our supply base, which may result in issues impacting the sourcing, timing, availability and cost of raw materials and components necessary to manufacture our products. Financial distress within our supply base and/or our suppliers’ inability to obtain credit from lending institutions could lead to commercial disputes and possible supply chain interruptions to our business. In addition, potential adverse industry conditions may require us to provide financial assistance or other measures to ensure uninterrupted production of key components or materials used in the production of our products which could have a material adverse effect on our existing and future revenues and net income.</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in the event of catastrophic acts of nature such as fires, tsunamis, hurricanes and earthquakes or a rapid increase in production demands, either we, or our suppliers may experience supply shortages of raw materials or components. This could be caused by a number of factors, including a lack of production line capacity or manpower or working capital constraints. As our industry consolidates its supply base in order to manage the costs of purchased goods and services, there is greater dependence on fewer sources of supply for certain components and materials used in our products, which could increase the possibility of a supply shortage of any particular component. If we or one of our own suppliers experience a supply shortage, we may become unable to produce the affected products if we cannot procure the necessary components from another source. Such production interruptions could impede a ramp-up in production and could have a material adverse effect on our business, results of operations and financial condition.</w:t>
      </w: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consider the production capacities and financial condition of suppliers in our selection process, and expect that they will meet our delivery requirements. However, there can be no assurance that strong demand, capacity limitations, shortages of raw materials, labor disputes, freight capacity or other problems impacting our suppliers will not result in any shortages or delays in the supply of components to us.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fluctuations could adversely affect the Company’s results.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significant foreign operations, for which the functional currencies are denominated primarily in euros, Swiss francs, Hong Kong dollars and Canadian dollars. As the values of the currencies of the foreign countries in which we have operations increase or decrease relative to the U.S. dollar, the sales, expenses, profits, losses, assets and liabilities of our foreign operations, as reported in our consolidated financial statements, increase or decrease, accordingly. Approximately 13% of our revenues for the year ended October 3, 2025 were denominated in currencies other than the U.S. dollar. Approximately 6% were denominated in euros and approximately 5% were denominated in Canadian dollars with the remaining 2% denominated in various other foreign currencies. We may mitigate a portion of the impact of fluctuations in certain foreign currencies on our operations through the purchase of foreign currency swaps, forward contracts and options to hedge known commitments denominated in foreign currencies or to reduce the risk of changes in foreign currency exchange rates on foreign currency borrowings.</w:t>
      </w:r>
    </w:p>
    <w:p>
      <w:pPr>
        <w:spacing w:after="0" w:line="21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rely on foreign suppliers and we sell products in foreign markets, we are susceptible to numerous international business risks that could increase our costs or disrupt the supply of our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international operations subject us to risks, including:</w:t>
      </w:r>
    </w:p>
    <w:p>
      <w:pPr>
        <w:spacing w:after="0" w:line="225" w:lineRule="exact"/>
        <w:rPr>
          <w:sz w:val="20"/>
          <w:szCs w:val="20"/>
          <w:color w:val="auto"/>
        </w:rPr>
      </w:pPr>
    </w:p>
    <w:p>
      <w:pPr>
        <w:ind w:left="440" w:hanging="31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instability;</w:t>
      </w:r>
    </w:p>
    <w:p>
      <w:pPr>
        <w:spacing w:after="0" w:line="27" w:lineRule="exact"/>
        <w:rPr>
          <w:rFonts w:ascii="Times New Roman" w:cs="Times New Roman" w:eastAsia="Times New Roman" w:hAnsi="Times New Roman"/>
          <w:sz w:val="18"/>
          <w:szCs w:val="18"/>
          <w:color w:val="auto"/>
        </w:rPr>
      </w:pPr>
    </w:p>
    <w:p>
      <w:pPr>
        <w:ind w:left="460" w:right="460" w:hanging="331"/>
        <w:spacing w:after="0" w:line="250" w:lineRule="auto"/>
        <w:tabs>
          <w:tab w:leader="none" w:pos="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actions by foreign governments, including with respect to tariffs, changes in tariff rates or trade policies (whether those of the United States or of a foreign jurisdiction);</w:t>
      </w:r>
    </w:p>
    <w:p>
      <w:pPr>
        <w:ind w:left="440" w:hanging="31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costs and reputational damage related to the presence of counterfeit versions of the Company’s products in such foreign markets;</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enforcing intellectual property rights and weaker laws protecting intellectual property rights;</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duties or import or export restrictions;</w:t>
      </w:r>
    </w:p>
    <w:p>
      <w:pPr>
        <w:spacing w:after="0" w:line="9" w:lineRule="exact"/>
        <w:rPr>
          <w:rFonts w:ascii="Times New Roman" w:cs="Times New Roman" w:eastAsia="Times New Roman" w:hAnsi="Times New Roman"/>
          <w:sz w:val="18"/>
          <w:szCs w:val="18"/>
          <w:color w:val="auto"/>
        </w:rPr>
      </w:pPr>
    </w:p>
    <w:p>
      <w:pPr>
        <w:ind w:left="460" w:right="40" w:hanging="331"/>
        <w:spacing w:after="0" w:line="250" w:lineRule="auto"/>
        <w:tabs>
          <w:tab w:leader="none" w:pos="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shipping of product and unloading of product, including the timely rail/truck delivery to our warehouses and/or a customer’s warehouse of our products;</w:t>
      </w:r>
    </w:p>
    <w:p>
      <w:pPr>
        <w:ind w:left="460" w:right="280" w:hanging="331"/>
        <w:spacing w:after="0" w:line="250" w:lineRule="auto"/>
        <w:tabs>
          <w:tab w:leader="none" w:pos="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in complying with the laws and policies of the United States affecting the importation of goods, including tariffs, duties, quotas and taxes;</w:t>
      </w:r>
    </w:p>
    <w:p>
      <w:pPr>
        <w:ind w:left="440" w:hanging="31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that impact the Company’s operations in foreign jurisdictions that do not impact local operating companies; and</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in complying with trade and foreign tax laws.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Cyber security vulnerabilities, threats and more sophisticated and targeted computer crime could pose a risk to our systems, networks, products, solutions, services and data.</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Increased global cyber security vulnerabilities, threats, computer viruses and more sophisticated and targeted cyber-related attacks, as well as cyber security failures resulting from human error and technological errors, pose a risk to our systems, products and data as well as potentially to our employees’, customers’ and suppliers’ data and systems that may ultimately impact us. We attempt to mitigate these risks by employing a number of measures, including employee training, monitoring and testing, and maintenance of protective systems and contingency plans, but we remain potentially vulnerable to additional known or unknown threats. There is no assurance the impact from such threats will not be material to our financial results or reputation and it could result in security breaches, theft, lost or corrupted data, misappropriation of sensitive, confidential or personal data or information, loss of trade secrets and commercially valuable information, production downtimes and operational disruptions, any of which may adversely affect our profitability or operating results.</w:t>
      </w:r>
    </w:p>
    <w:p>
      <w:pPr>
        <w:spacing w:after="0" w:line="21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While our Board of Directors oversees cybersecurity risk mitigation efforts as part of our Enterprise Risk Management Framework, we rely to a large degree on management and outside consultants in managing our cybersecurity risk and ensuring adequate and proper measures are in place to protect against these risks.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Board of Directors reviews a biennial risk assessment survey and receives regular presentations and reports from management relative to information technology and cybersecurity matters. The Board of Directors has also designated the Audit Committee to receive reports at each of its quarterly meetings on Cybersecurity and to have management present on the same. Furthermore, our Audit Committee is responsible for reviewing all audit findings related to information technology general controls, internal and external vulnerability, and penetration testing. However, our directors do not have significant experience in cybersecurity risk management outside of the Company and therefore, its ability to fulfill its oversight function remains dependent on the input it receives from management and outside consultants.</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terror attacks, war, natural disasters or other catastrophic events beyond our control could negatively impact our business.</w:t>
      </w:r>
    </w:p>
    <w:p>
      <w:pPr>
        <w:spacing w:after="0" w:line="25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Terror attacks, war or other civil disturbances, natural disasters and other catastrophic events could lead to economic instability and decreased demand for our products, which could negatively impact our business, financial condition, results of operations and cash flows. In the past, terrorist attacks have caused instability in global financial markets and the industries in which we compete and have negatively affected spending on consumer discretionary products. In addition, our facilities are located throughout the world and could be subject to damage from terrorism incidents or from fires, floods, earthquakes or other natural or man-made disasters. Terrorist incidents could also lead to increased border security which could in turn negatively impact our global supply chain by causing shipping delays or shortages in key materials or components, increasing the cost of such goods or requiring us to keep greater inventories, any of which may adversely impact our business, results of operations, financial condition or cash flows.</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currently operating in a period of geopolitical instability resulting from the ongoing military conflict between Russia and the Ukraine and the conflict in the Middle East, which have significantly contributed to economic uncertainty, capital market disruption and supply chain interruptions in the U.S. and global markets. While the length and impact of the ongoing conflicts are unpredictable, they could continue to lead to market disruptions, including supply chain interruptions and significant volatility in commodity prices, and in credit and capital markets. These conflicts may lead to sanctions and other penalties being levied or taken by various countries against Russia, Iran or other countries involved in these conflicts by the U.S., the EU, and other countries. Escalation of, or new geopolitical conflicts, could adversely affect the global economy and financial markets and lead to instability and lack of liquidity in capital markets, potentially further disrupting the supply chain for necessary components and raw materials used by us or our suppliers in producing products. Any of the foregoing factors could have a material adverse effect on our business, operating results, financial condition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susceptible to adverse weather conditions or events.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success is in part affected by adverse weather conditions, including fires, floods, tornadoes, severe cold and other natural disasters. Such events have the tendency to create fluctuations in demand for our products which may increase our expenses and reduce our profitability. Moreover, our profitability is affected by our ability to successfully manage our inventory levels and demand for our products, which, in part depends upon the efficient operation of our production and delivery systems. These systems are vulnerable to damage or interruption from the aforementioned natural disasters. Such natural disasters could adversely impact our ability to meet delivery requirements of our customers, which may result in our need to incur extra costs to expedite production and delivery of product to meet customer demand. Any of these events could negatively impact our profitability.</w:t>
      </w:r>
    </w:p>
    <w:p>
      <w:pPr>
        <w:spacing w:after="0" w:line="21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take cybersecurity threats seriously. We have developed and implemented processes to assess, identify and manage material risks from cybersecurity threats. These cybersecurity processes are a part of our overall enterprise risk management system, sharing governance processes and reporting structures with other components of our enterprise-wide risk management system. Our cybersecurity processes include security monitoring and threat hunting through a third-party managed vendor and mandatory, Company-wide employee training. Our cybersecurity processes also extend to the oversight and identification of risks associated with our vendors and customers if their computer systems interface with our information systems. Upon detection of a potentially material cybersecurity incident, we will activate our cyber incident procedure to investigate, contain and remediate the incident. Depending on the extent and severity of the incident, we may engage third-party cybersecurity consultants to assist with our cyber incident procedure. Risks from cybersecurity threats have the potential to materially affect us, including our results of operations and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established an Enterprise Risk Committee, which is co-chaired by the Company’s Chief Financial Officer and Senior Managing Director of Legal Affairs, and under that framework has chartered a Cybersecurity Sub-Committee, chaired by the Chief Technology Officer. Both committees include various other members of key senior management. Our Board of Directors (including our Audit Committee through delegation as described below), along with our Enterprise Risk</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Committee and Cybersecurity Sub-Committee, are actively involved in providing oversight of our cybersecurity program. The role of the Board of Directors in the Company’s risk oversight process includes receiving reports and presentations from the Enterprise Risk Committee or other senior management leaders on areas of material risk to the Company, including operational, financial, legal and regulatory, strategic, reputational, cybersecurity and Environmental, Social and Governance (“ESG”) related risks and any measures taken to mitigate such risks. In addition, the Board of Directors regularly reviews and discusses areas of material risk at its meetings. In essence, the Board of Directors oversees a company-wide approach to risk management, carried out by Company management. With respect to cybersecurity risk, the Board (through the Audit Committee) periodically reviews information on management’s policies and processes related to the Company’s cybersecurity and data-protection measures, including related to monitoring, controlling and mitigating against such risks, and the entire Board receives periodic updates on the Company’s cybersecurity risk management processes. There have been no material cybersecurity incidents in the periods presented in this Report.</w:t>
      </w:r>
    </w:p>
    <w:p>
      <w:pPr>
        <w:spacing w:after="0" w:line="2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maintains leased and owned manufacturing, warehousing, distribution and office facilities throughout the world. The Company believes that its facilities are well maintained and have capacity adequate to meet its current needs.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to the consolidated financial statements included elsewhere in this report for a discussion of the Company’s lease obligations.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2025, the Company’s principal manufacturing (identified with an asterisk) and other locations 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Georgia (Fishing)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Antibes, France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Batam, Indonesia*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Binghamton, New York (Camping)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Ontario, Canada (Fishing, Camping, Watercraft Recreation)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Casarza Ligure, Italy*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 Wan, Hong Kong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Chatswood, Australia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Durban, South Africa*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Cajon, California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Eufaula, Alabama*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Falls, Minnesota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Mankato, Minnesota*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Mexicali, Mexico*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Town, Maine* (Watercraft Recreation)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Canada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Nuremberg, Germany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Zurich, Switzerland (Diving)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corporate headquarters is located in a facility in Racine, Wisconsin.</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As of the date of the filing of this Report, we are not involved in any litigation involving amounts deemed to be material to the business or financial condition of the Company.</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Certain information with respect to this item is included in Notes 9 and 10 to the Company’s consolidated financial statements included elsewhere in this report. The Company’s Class A common stock is traded on the NASDAQ Global Select Market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under the symbol: JOUT. There is no public market for the Company’s Class B common stock. However, the Class B common stock is convertible at all times at the option of the holder into shares of Class A common stock on a share for share basis. As of October 3, 2025, the Company had 379 holders of record of its Class A common stock and 16 holders of record of its Class B common stock. We believe the number of beneficial owners of our Class A common stock on that date was substantially greater.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high and low closing prices for the Company’s Class A common stock during each quarter of the years ended October 3,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2024 and September 29, 2023 is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First Quarter</w:t>
            </w: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7"/>
              </w:rPr>
              <w:t>Second Quarter</w:t>
            </w:r>
          </w:p>
        </w:tc>
        <w:tc>
          <w:tcPr>
            <w:tcW w:w="6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Fourth Quarter</w:t>
            </w:r>
          </w:p>
        </w:tc>
        <w:tc>
          <w:tcPr>
            <w:tcW w:w="640" w:type="dxa"/>
            <w:vAlign w:val="bottom"/>
            <w:tcBorders>
              <w:top w:val="single" w:sz="8" w:color="auto"/>
              <w:bottom w:val="single" w:sz="8" w:color="auto"/>
            </w:tcBorders>
          </w:tcPr>
          <w:p>
            <w:pPr>
              <w:spacing w:after="0"/>
              <w:rPr>
                <w:sz w:val="22"/>
                <w:szCs w:val="22"/>
                <w:color w:val="auto"/>
              </w:rPr>
            </w:pPr>
          </w:p>
        </w:tc>
      </w:tr>
      <w:tr>
        <w:trPr>
          <w:trHeight w:val="237"/>
        </w:trPr>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r>
      <w:tr>
        <w:trPr>
          <w:trHeight w:val="176"/>
        </w:trPr>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Stock</w:t>
            </w: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9"/>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prices: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4"/>
        </w:trPr>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High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38.20</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54.94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35.60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51.52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31.51</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45.63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42.37</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42.40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r>
      <w:tr>
        <w:trPr>
          <w:trHeight w:val="229"/>
        </w:trPr>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Low</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44.69</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42.95</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33.70</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33.15</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r>
      <w:tr>
        <w:trPr>
          <w:trHeight w:val="21"/>
        </w:trPr>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Articles of Incorporation provide that no dividend, other than a dividend payable in shares of the Company’s common stock, may be declared or paid upon the Class B common stock unless such dividend is declared or paid upon both classes of common stock. Whenever a dividend (other than a dividend payable in shares of Company common stock) is declared or paid upon any shares of Class B common stock, at the same time there must be declared and paid a dividend on the shares of Class A common stock equal in value to 110% of the amount per share of the dividend declared and paid on the shares of Class B common stock. Whenever a dividend is payable in shares of Company common stock, such dividend must be declared or paid at the same rate on the Class A common stock and the Class B common stock.</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Quarterly dividends declared in fiscal 2025 were $0.33 per share of Class A common stock, and $0.30 per share of Class B common stock. Total dividends declared in fiscal 2025 were $13,530. Cash dividends paid in fiscal 2025 totaled $13,507 and dividends payable of $3,387 were included in current liabilities at October 3, 2025.</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While the Board of Directors of the Company presently intends to continue the payment of regular quarterly cash dividends on the Company’s common stock, they review the Company’s dividend quarterly and may elect to increase, decrease or not pay a dividend at any time. The Company’s ability to pay dividends could be affected by future business performance (including as a result of adverse developments in profitability, including reductions in margins, inflation and macroeconomic dynamics on our operations and cash flows), liquidity, capital needs, alternative investment opportunities and compliance with debt covenants in its loan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Shareholder Return</w:t>
      </w:r>
    </w:p>
    <w:p>
      <w:pPr>
        <w:spacing w:after="0" w:line="25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graph below compares on a market cap weighted cumulative basis the yearly percentage change since October 2, 2020 in the total return (assuming reinvestment of dividends) to shareholders on the Class A common stock with (a) the total return (assuming reinvestment of dividends) on The NASDAQ Stock Market-U.S. Index; (b) the total return (assuming reinvestment of dividends) on the S&amp;P Small Cap 600 Consumer Discretionary Index; and (c) the total return (assuming reinvestment of dividends) on a self-constructed peer group index. The Company’s peer group consists of Clarus Corporation, Brunswick Corporation, Topgolf Callaway Brands, Escalade Inc., Garmin Ltd., Marine Products Corporation, Malibu Boats Inc. and Johnson Health Tech Co., Ltd. BowFlex, Inc., a company included in previous peer groups in the Company's Annual Report on Form 10-K, was acquired by Johnson Health Tech Co., Ltd. The graph assumes $100 was invested on October 2, 2020 in the Company’s Class A common stock, The NASDAQ Stock Market-U.S. Index, the S&amp;P Small Cap 600 Index, and the peer group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241300</wp:posOffset>
            </wp:positionV>
            <wp:extent cx="5709285" cy="3008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928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0" w:right="4440" w:hanging="169"/>
        <w:spacing w:after="0" w:line="282" w:lineRule="auto"/>
        <w:tabs>
          <w:tab w:leader="none" w:pos="3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October 2, 2020 in stock or index, including reinvestment of dividends. Indices calculated on a mid-month basis.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5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10/2/2020</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10/1/2021</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9/30/2022</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9/29/2023</w:t>
            </w: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9/27/2024</w:t>
            </w: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10/3/2025</w:t>
            </w: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Johnson Outdoors Inc.</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4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184"/>
        </w:trPr>
        <w:tc>
          <w:tcPr>
            <w:tcW w:w="25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S&amp;P Small Cap 600 Consumer</w:t>
            </w: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Discretionary Index</w:t>
            </w: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132.6</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3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4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r>
    </w:tbl>
    <w:p>
      <w:pPr>
        <w:spacing w:after="0" w:line="31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titled “Total Shareholder Return” shall not be deemed to be “soliciting material” or “filed” with the Securities and Exchange Commission or subject to Regulation 14A or 14C promulgated by the Securities and Exchange Commission or subject to the liabilities of section 18 of the Securities Exchange Act of 1934, as amended, and this information shall not be deemed to be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9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stated, all monetary amounts in this Management’s Discussion and Analysis of Financial Condition and Results of Operations, other than per share amounts, are stated in thousands.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designs, manufactures and markets innovative, high quality recreational products for the outdoor enthusiast. Through a combination of innovative products, strong marketing, a talented and passionate workforce and efficient distribution, the Company seeks to set itself apart from the competition in its markets. Its subsidiaries operate as a network that promotes innovation and leverages best practices and synergies in the design, production and marketing of their recreational products, following the strategic vision set by executive management and approved by the Company’s Board of Directors.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fiscal 2025 full-year revenues remained essentially flat to the prior year. New product successes in the Fishing segment helped to offset sales declines resulting from the exit of the Company's Eureka! brand in the prior year. Favorable overhead absorption and lower inventory reserve adjustments in the current year contributed to a 1.2 point increase in gross margin year over year. An 8% decrease in operating expenses between years, driven mainly by the $11,173 write-off of goodwill in the prior year, as well as a decrease in promotional spending year over year, contributed to a $27,331 improvement in operating loss in fiscal 2025 from fiscal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consolidated financial results from continuing operations for the fiscal years presented were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per share data)</w:t>
            </w:r>
          </w:p>
        </w:tc>
        <w:tc>
          <w:tcPr>
            <w:tcW w:w="2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592,415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592,846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663,844</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208,093</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200,980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244,087</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224,284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244,502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232,347</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profit</w:t>
            </w:r>
          </w:p>
        </w:tc>
        <w:tc>
          <w:tcPr>
            <w:tcW w:w="2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25,015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r>
      <w:tr>
        <w:trPr>
          <w:trHeight w:val="22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w:t>
            </w:r>
          </w:p>
        </w:tc>
      </w:tr>
      <w:tr>
        <w:trPr>
          <w:trHeight w:val="21"/>
        </w:trPr>
        <w:tc>
          <w:tcPr>
            <w:tcW w:w="46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internal and external sales and operating profit (loss) by business segment for each of the three most recent completed fiscal years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80" w:type="dxa"/>
            <w:vAlign w:val="bottom"/>
            <w:tcBorders>
              <w:top w:val="single" w:sz="8" w:color="auto"/>
              <w:bottom w:val="single" w:sz="8" w:color="auto"/>
            </w:tcBorders>
          </w:tcPr>
          <w:p>
            <w:pPr>
              <w:spacing w:after="0"/>
              <w:rPr>
                <w:sz w:val="22"/>
                <w:szCs w:val="22"/>
                <w:color w:val="auto"/>
              </w:rPr>
            </w:pPr>
          </w:p>
        </w:tc>
        <w:tc>
          <w:tcPr>
            <w:tcW w:w="2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2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459,162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452,341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492,927</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Camping &amp; Watercraft Recreation</w:t>
            </w:r>
          </w:p>
        </w:tc>
        <w:tc>
          <w:tcPr>
            <w:tcW w:w="2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58,071</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66,635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86,087</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2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75,458</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73,628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85,069</w:t>
            </w:r>
          </w:p>
        </w:tc>
      </w:tr>
      <w:tr>
        <w:trPr>
          <w:trHeight w:val="237"/>
        </w:trPr>
        <w:tc>
          <w:tcPr>
            <w:tcW w:w="4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 Eliminations</w:t>
            </w:r>
          </w:p>
        </w:tc>
        <w:tc>
          <w:tcPr>
            <w:tcW w:w="2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55"/>
        </w:trPr>
        <w:tc>
          <w:tcPr>
            <w:tcW w:w="4680" w:type="dxa"/>
            <w:vAlign w:val="bottom"/>
            <w:tcBorders>
              <w:bottom w:val="single" w:sz="8" w:color="auto"/>
            </w:tcBorders>
            <w:shd w:val="clear" w:color="auto" w:fill="CCEEFF"/>
          </w:tcPr>
          <w:p>
            <w:pPr>
              <w:spacing w:after="0"/>
              <w:rPr>
                <w:sz w:val="21"/>
                <w:szCs w:val="21"/>
                <w:color w:val="auto"/>
              </w:rPr>
            </w:pPr>
          </w:p>
        </w:tc>
        <w:tc>
          <w:tcPr>
            <w:tcW w:w="2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592,415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592,846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663,844</w:t>
            </w: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46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r>
        <w:trPr>
          <w:trHeight w:val="236"/>
        </w:trPr>
        <w:tc>
          <w:tcPr>
            <w:tcW w:w="46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2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19,570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41,325</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Camping &amp; Watercraft Recreation</w:t>
            </w:r>
          </w:p>
        </w:tc>
        <w:tc>
          <w:tcPr>
            <w:tcW w:w="2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2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r>
      <w:tr>
        <w:trPr>
          <w:trHeight w:val="237"/>
        </w:trPr>
        <w:tc>
          <w:tcPr>
            <w:tcW w:w="4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 Eliminations</w:t>
            </w:r>
          </w:p>
        </w:tc>
        <w:tc>
          <w:tcPr>
            <w:tcW w:w="2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(38,346)</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(34,357)</w:t>
            </w:r>
          </w:p>
        </w:tc>
      </w:tr>
      <w:tr>
        <w:trPr>
          <w:trHeight w:val="255"/>
        </w:trPr>
        <w:tc>
          <w:tcPr>
            <w:tcW w:w="4680" w:type="dxa"/>
            <w:vAlign w:val="bottom"/>
            <w:tcBorders>
              <w:bottom w:val="single" w:sz="8" w:color="auto"/>
            </w:tcBorders>
            <w:shd w:val="clear" w:color="auto" w:fill="CCEEFF"/>
          </w:tcPr>
          <w:p>
            <w:pPr>
              <w:spacing w:after="0"/>
              <w:rPr>
                <w:sz w:val="21"/>
                <w:szCs w:val="21"/>
                <w:color w:val="auto"/>
              </w:rPr>
            </w:pPr>
          </w:p>
        </w:tc>
        <w:tc>
          <w:tcPr>
            <w:tcW w:w="2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to the Consolidated Financial Statements included elsewhere in this report for the definition of segment net sales and operating profit.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vs. Fiscal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sales in fiscal 2025 were $592,415 compared to $592,846 in fiscal 2024. Foreign currency exchange had a negligible impact on the current year’s sales versus the prior year.</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sales for the Fishing business increased by $6,821, or 2% during fiscal 2025 from fiscal 2024. The increase in sales in this segment year over year was mainly due to sales generated by the introduction of new products, particularly in the last half of the current fiscal year.</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Camping &amp; Watercraft Recreation net sales decreased $8,564, or 13%, in 2025 from 2024. As previously announced, the Company exited the Eureka! brand in this segment, and completed all remaining sales of Eureka! inventory in the first fiscal quarter of 2025. Excluding the impact of Eureka! sales in the prior year, which accounts for a decrease of approximately $9,432 year over year, sales in this segment increased slightly over the prior year due to success of new Jetboil products introduced into the market by the Company during the year.</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Diving net sales increased $1,830, or 2%, year over year. The sales increase was primarily driven by modest improvements in market conditions across certain regions, as well as a favorable foreign currency translation impact on sales in this segment of approximately 1% in 2025 versus the prior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 of sales was $384,322, or 64.9% of net sales, on a consolidated basis for fiscal 2025 compared to $391,866, or 66.1% of net sales, in the prior year. Incremental tariffs incurred during the current year were, in large part, capitalized on the balance sheet at October 3, 2025. The decrease in cost of sales as a percent of net sales year over year was driven primarily by the sell-off of remaining Eureka! branded product in the prior year at very low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Gross profit of $208,093 was 35.1% of net sales on a consolidated basis for the year ended October 3, 2025 compared to $200,980, or 33.9% of net sales in the prior year.</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Gross profit in the Fishing business increased by $3,451 from the prior year due primarily to the 2% increase in net sales year over year. Material and labor cost increases were largely offset by lower inventory reserves and improved absorption of fixed overhead costs between the periods.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Camping &amp; Watercraft Recreation gross profit decreased by $788 from 2024, where the impact of lower sales volumes was partially offset by an improved product mix in fiscal 2025 after fully exiting the Eureka! brand in early 2025.</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$4,494 increase in gross profit in the Diving segment was largely due to increased sales as well as reduced inventory reserves and selected pricing actions taken in the current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expenses decreased from the prior year by $20,218. Key drivers of the expense change were an $11,173 write off of goodwill in the prior year, approximately $3,600 of lower deferred compensation costs between years, and a decrease in promotional spending versus the prior year period.</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Operating expenses for the Fishing segment decreased by $22,717 from fiscal 2024 levels. This decrease was due primarily to the $11,173 write off of goodwill in the prior year, as well as approximately $10,000 of lower advertising and promotional spend between years.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Camping &amp; Watercraft Recreation operating expenses decreased by $2,194 from the prior year, mainly due to decreased sales volume related costs between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Diving business increased by $1,583 year over year due primarily to increased variable compensation costs between periods.</w:t>
      </w:r>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fiscal 2025 general corporate expenses of $38,612 increased $3,110 from $35,502 in fiscal 2024. Higher variable compensation and health insurance costs over the prior year were partially offset by approximately $3,600 of lower deferred compensation costs due to less favorable market conditions on the Company's deferred compensation plan assets during fiscal 2025. The deferred compensation expenses are entirely offset in "Other (income) expense, net" related to marking the plan assets to market.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Company’s operating loss was $16,191 in fiscal 2025 compared to an operating loss of $43,522 in fiscal 2024. Fishing operating profit increased by $26,168 from the prior year to a profit of $19,570 due primarily to a goodwill impairment charge in the prior year and increased sales volumes between years, as discussed above. The operating profit for Camping &amp; Watercraft Recreation was $918 compared to a loss of $488 in 2024 which increase was primarily a result of an improved sales mix of products between periods. The operating profit for the Diving business was $1,667 in fiscal 2025, up from an operating loss of $1,244 in fiscal 2024, due primarily to decreased materials costs and a favorable product mix between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expense of $224 increased slightly compared to the prior year expense of $152. Interest income of $3,783 decreased from prior year interest income of $4,844 due to the decreased investment balances over the prior year. Net other income of $3,353 in fiscal 2025 decreased from $8,968 in fiscal 2024. The current year net other income included market earnings and dividend income on deferred compensation plan assets of $3,415, partially offset by currency losses of $126. The prior year net other income included the gain on the sale of a building of approximately $1,900 and market earnings and dividend income of $7,049 on deferred compensation plan assets, partially offset by currency losses of $385. The dividends and market gains and losses on deferred compensation plan assets recognized in the Consolidated Statement of Operations in “Other (income) expense, net” are offset as compensation expense in “Operating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Pretax Income and Income Taxes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realized a pretax loss of $9,279 in fiscal 2025 compared to a pretax loss of $29,862 in fiscal 2024. The Company recorded income tax expense of $25,015 in 2025, which equated to an effective tax rate of (269.6)%, compared to a tax benefit of $3,329 in 2024, which equated to an effective tax rate of 11.1%. In fiscal 2025, based on projections for the U.S. tax jurisdictions, the Company determined that it was more likely than not that certain deferred tax assets will not be realized and a valuation allowance balance of $25,880 was reported against the net deferred tax assets for the U.S, resulting in the increase in tax expense over the prior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recognized net loss of $34,294, or $3.35 per diluted common share, in fiscal 2025 compared to net loss of $26,533, or $2.60 per diluted common share, in fiscal 2024 based on the factors discussed above.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vs. Fiscal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sales in fiscal 2024 decreased by 11% to $592,846 compared to $663,844 in fiscal 2023. Foreign currency exchange had a negligible impact on sales year over year.</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Net sales for the Fishing business decreased by $40,586, or 8% during fiscal 2024 from fiscal 2023. Softer overall consumer demand and increased competitive pressure in the Fishing market contributed to the decline between years.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Camping &amp; Watercraft Recreation net sales decreased $19,439 in fiscal 2024 from 2023. Approximately $4,500 of the decrease in net sales from the 2023 period was related to the previously disclosed sale of the Military and Commercial Tents product lines during the second fiscal quarter of 2023, with the remainder due primarily to general declines in market demand for camping and watercraft products.</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Diving net sales decreased $11,441, or 13%, year over year. The sales decrease was due to softening market demand across all geographic regions, partially offset by a favorable foreign currency translation impact on sales in this segment of approximately 1% in 2024 versus the 2023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Cost of sales was $391,866, or 66.1% of net sales, on a consolidated basis for fiscal 2024 compared to $419,757, or 63.2% of net sales, in fiscal 2023. The decrease in total cost of sales dollars was consistent with the decrease in sales year over year. As a percentage of net sales, the increase cost of sales between years was driven primarily by the unfavorable absorption of fixed overhead costs as a result of lower sales volumes between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Gross profit of $200,980 was 33.9% of net sales on a consolidated basis for the year ended September 27, 2024 compared to $244,087, or 36.8% of net sales in fiscal 2023.</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profit in fiscal 2024 in the Fishing business decreased by $28,766 from fiscal 2023 due primarily to the 8% decrease in net sales year over year. While certain material and overhead costs improved year over year as a result of cost savings efforts, it was not enough to overcome unfavorable overhead absorption as a result of the reduced sales volumes between periods, and a product mix that contained lower margin products in fiscal 2024.</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Camping &amp; Watercraft Recreation gross profit in fiscal 2024 decreased by $7,309 from 2023, mainly due to lower sales volumes between years, as well as lower absorption of fixed overhead related to such sales decrease.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$6,935 decrease in gross profit in the Diving segment was largely due to sales volume decreases during fiscal 2024 as compared to fiscal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expenses increased in fiscal 2024 from fiscal 2023 levels by $12,155 despite the decrease in sales volumes. Key drivers of the expense change were an $11,173 write off of goodwill in fiscal 2024, approximately $3,800 of higher deferred compensation costs between years, partially offset by lower incentive compensation and professional services expenses between years.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expenses for the Fishing segment increased by $19,156 from fiscal 2023 levels. The increase was due primarily to the $11,173 write off of goodwill in fiscal 2024, as well as approximately $11,000 higher advertising and promotional spend between years offset in part by lower warranty expense and lower sales volume related costs.</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Camping &amp; Watercraft Recreation operating expenses decreased in fiscal 2024 by $8,142 from fiscal 2023. In addition to decreased sales volume related costs between years, fiscal 2023 included expenses related to the Eureka! product exit of approximately $2,500.</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Operating expenses for the Diving business increased by $401 year over year due primarily to severance expense and professional services expenses, partially offset by decreased sales volume related expenses between periods.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fiscal 2024 general corporate expenses of $35,503 increased $739 from $34,765 in fiscal 2023. More favorable market conditions on the Company's deferred compensation plan assets resulted in approximately $3,800 of higher deferred compensation expense during fiscal 2024 over fiscal 2023, partially offset by lower incentive compensation and professional services expenses year over year. The deferred compensation expenses are entirely offset by a gain in "Other (income) expense, net" related to marking the plan assets to market.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operating loss was $43,522 in fiscal 2024 compared to an operating profit of $11,740 in fiscal 2023. Fishing operating profit decreased by $47,923 in fiscal 2024 to a loss of $6,598 from fiscal 2023 due primarily to lower sales volumes between years, as well as increased operating expenses, as discussed above. The operating loss for Camping &amp; Watercraft was $488 in fiscal 2024 compared to a loss $1,320 in fiscal 2023 which improvement was primarily a result of the lower operating expenses between periods. The operating loss for the Diving business was $1,244 in fiscal 2024, down from an operating profit of $6,092 in fiscal 2023, due primarily to decreased sales volumes between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Interest expense of $152 in fiscal 2024 was flat as compared to fiscal 2023 expense of $152. Interest income of $4,844 in fiscal 2024 increased slightly from fiscal 2023 interest income of $4,543 due to the increase in deposit interest rates year over year, as well as increased cash and investment balances year over year. Net other income of $8,968 in fiscal 2024 decreased from $9,693 in fiscal 2023. Fiscal 2024 net other income included the gain on the sale of a building of approximately $1,900 and market earnings and dividend income of $7,049 on deferred compensation plan assets, partially offset by currency losses of $385. In fiscal 2023, net other income included the gain on the sale of the Military and Commercial Tents product lines of approximately $6,560, and market earnings and dividends on the deferred compensation plan assets of $3,200, partially offset by $114 of currency losses. The dividends and market gains and losses on deferred compensation plan assets recognized in the Consolidated Statement of Operations in “Other (income) expense, net” are offset as compensation expense in “Operating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Pretax Income and Income Taxes</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realized a pretax loss of $29,862 in fiscal 2024 compared to pretax income of $25,824 in fiscal 2023. The Company recorded an income tax benefit of $3,329 in 2024, which equated to an effective tax rate of 11.1%, compared to tax expense of $6,290 in 2023, which equated to an effective tax rate of 24.4%.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recognized net loss of $26,533, or $2.60 per diluted common share, in fiscal 2024 compared to net income of $19,534, or $1.90 per diluted common share, in fiscal 2023 based on the factors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 Liquidity and Capital Resources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believes its existing balances of cash and cash equivalents will be sufficient to satisfy its working capital needs, capital asset purchase requirements, outstanding commitments and other liquidity requirements associated with its existing operations over the next twelve months. The Company currently anticipates the cash used for future dividends will come from its current cash and cash generated from ongoing operating activities.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in interest-bearing bank accounts, and all securities and other instruments with an original maturity of three months or less, to be equivalent to cash. Short-term investments consist of marketable securities, with original maturities greater than three months but less than one year, and long-term investments consist of marketable securities with original maturities greater than one year, with the primary objective of minimizing the potential risk of principal loss. The Company’s investment policy generally requires securities to be investment grade.</w:t>
      </w:r>
    </w:p>
    <w:p>
      <w:pPr>
        <w:spacing w:after="0" w:line="20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Company’s cash flows from operating, investing and financing activities, as reflected in the accompanying Consolidated Statements of Cash Flows, are summarized in the following table:</w:t>
      </w:r>
    </w:p>
    <w:tbl>
      <w:tblPr>
        <w:tblLayout w:type="fixed"/>
        <w:tblInd w:w="0" w:type="dxa"/>
        <w:tblCellMar>
          <w:top w:w="0" w:type="dxa"/>
          <w:left w:w="0" w:type="dxa"/>
          <w:bottom w:w="0" w:type="dxa"/>
          <w:right w:w="0" w:type="dxa"/>
        </w:tblCellMar>
      </w:tblPr>
      <w:tr>
        <w:trPr>
          <w:trHeight w:val="233"/>
        </w:trPr>
        <w:tc>
          <w:tcPr>
            <w:tcW w:w="51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Year Ended</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840" w:type="dxa"/>
            <w:vAlign w:val="bottom"/>
          </w:tcPr>
          <w:p>
            <w:pPr>
              <w:spacing w:after="0"/>
              <w:rPr>
                <w:sz w:val="15"/>
                <w:szCs w:val="15"/>
                <w:color w:val="auto"/>
              </w:rPr>
            </w:pPr>
          </w:p>
        </w:tc>
        <w:tc>
          <w:tcPr>
            <w:tcW w:w="1260" w:type="dxa"/>
            <w:vAlign w:val="bottom"/>
          </w:tcPr>
          <w:p>
            <w:pPr>
              <w:jc w:val="right"/>
              <w:ind w:right="330"/>
              <w:spacing w:after="0" w:line="181" w:lineRule="exact"/>
              <w:rPr>
                <w:sz w:val="20"/>
                <w:szCs w:val="20"/>
                <w:color w:val="auto"/>
              </w:rPr>
            </w:pPr>
            <w:r>
              <w:rPr>
                <w:rFonts w:ascii="Times New Roman" w:cs="Times New Roman" w:eastAsia="Times New Roman" w:hAnsi="Times New Roman"/>
                <w:sz w:val="18"/>
                <w:szCs w:val="18"/>
                <w:color w:val="auto"/>
              </w:rPr>
              <w:t>October 3</w:t>
            </w:r>
          </w:p>
        </w:tc>
        <w:tc>
          <w:tcPr>
            <w:tcW w:w="220" w:type="dxa"/>
            <w:vAlign w:val="bottom"/>
          </w:tcPr>
          <w:p>
            <w:pPr>
              <w:spacing w:after="0"/>
              <w:rPr>
                <w:sz w:val="15"/>
                <w:szCs w:val="15"/>
                <w:color w:val="auto"/>
              </w:rPr>
            </w:pPr>
          </w:p>
        </w:tc>
        <w:tc>
          <w:tcPr>
            <w:tcW w:w="132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September 27</w:t>
            </w:r>
          </w:p>
        </w:tc>
        <w:tc>
          <w:tcPr>
            <w:tcW w:w="220" w:type="dxa"/>
            <w:vAlign w:val="bottom"/>
          </w:tcPr>
          <w:p>
            <w:pPr>
              <w:spacing w:after="0"/>
              <w:rPr>
                <w:sz w:val="15"/>
                <w:szCs w:val="15"/>
                <w:color w:val="auto"/>
              </w:rPr>
            </w:pPr>
          </w:p>
        </w:tc>
        <w:tc>
          <w:tcPr>
            <w:tcW w:w="126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auto"/>
            </w:tcBorders>
            <w:vMerge w:val="continue"/>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for):</w:t>
            </w:r>
          </w:p>
        </w:tc>
        <w:tc>
          <w:tcPr>
            <w:tcW w:w="1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40,984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8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5,034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rate changes on cash</w:t>
            </w:r>
          </w:p>
        </w:tc>
        <w:tc>
          <w:tcPr>
            <w:tcW w:w="1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54"/>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working capital position at the end of each of the years shown:</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share data)</w:t>
            </w:r>
          </w:p>
        </w:tc>
        <w:tc>
          <w:tcPr>
            <w:tcW w:w="1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October 3</w:t>
            </w:r>
          </w:p>
        </w:tc>
        <w:tc>
          <w:tcPr>
            <w:tcW w:w="220" w:type="dxa"/>
            <w:vAlign w:val="bottom"/>
          </w:tcPr>
          <w:p>
            <w:pPr>
              <w:spacing w:after="0"/>
              <w:rPr>
                <w:sz w:val="15"/>
                <w:szCs w:val="15"/>
                <w:color w:val="auto"/>
              </w:rPr>
            </w:pPr>
          </w:p>
        </w:tc>
        <w:tc>
          <w:tcPr>
            <w:tcW w:w="12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auto"/>
            </w:tcBorders>
            <w:vMerge w:val="continue"/>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8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408,788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428,728</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104,640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90,444</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Working capital</w:t>
            </w:r>
          </w:p>
        </w:tc>
        <w:tc>
          <w:tcPr>
            <w:tcW w:w="18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304,148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338,284</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Current ratio</w:t>
            </w:r>
          </w:p>
        </w:tc>
        <w:tc>
          <w:tcPr>
            <w:tcW w:w="1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flows provided by operations in fiscal 2025 totaled $56,206, compared to $40,984 in fiscal 2024, and $41,713 in fiscal 2023. While the net loss in fiscal 2025 was larger than fiscal 2024, a significant portion of the current year's loss was driven by non-cash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charges were $20,627, $19,608 and $16,295 in fiscal 2025,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flows used for investing activities were $11,856 in fiscal 2025, cash flows provided by investing activities were $5,034 in fiscal 2024, and cash flows used for investing activities were $48,374 in fiscal 2023. Fiscal 2025 cash usage reflects the acquisition of the business of Endless Summer Technologies Proprietary Limited (See Note 17 to the consolidated financial statements included elsewhere in this report for a discussion of the acquisition) for cash of $12,197 in the Company's Diving</w:t>
      </w:r>
    </w:p>
    <w:p>
      <w:pPr>
        <w:sectPr>
          <w:pgSz w:w="11900" w:h="16838" w:orient="portrait"/>
          <w:cols w:equalWidth="0" w:num="1">
            <w:col w:w="11240"/>
          </w:cols>
          <w:pgMar w:left="320" w:top="119" w:right="339" w:bottom="1440" w:gutter="0" w:footer="0" w:header="0"/>
        </w:sectPr>
      </w:pPr>
    </w:p>
    <w:p>
      <w:pPr>
        <w:spacing w:after="0" w:line="31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segment offset by proceeds from the maturity of investments of $16,316. During fiscal 2024, the Company received proceeds from maturities of investments of $27,025, as well as proceeds of approximately $1,900 related to the sale of a building. During fiscal 2023, the Company purchased investments of approximately $40,700 which was offset in part by $14,990 of proceeds from selling the Military and Commercial Tent product lines. Expenditures for property, plant and equipment were $15,975, $22,018 and $22,668 in fiscal 2025, 2024 and 2023, respectively. In general, the Company’s ongoing capital expenditures are primarily related to tooling for new products, facilities investments and information systems improvements.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Cash flows used for financing activities totaled $13,563 in fiscal 2025 compared to $13,695 and $12,732 in 2024 and 2023, respectively, and were primarily for the payment of dividends of $13,507, $13,431 and $12,554 in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 Balance Sheet Arrangements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contractual obligations and commitments to make future payments under its operating leases and open purchase orders. There have been no changes outside of the ordinary course of business in the specified contractual obligations during the year ended October 3, 2025.</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utilizes letters of credit primarily as security for the payment of future claims under its workers’ compensation insurance. Letters of credit outstanding at October 3, 2025 and September 27, 2024 were $67 and $67, respectively, and were included in the Company’s total loan availability. The Company had no unsecured revolving credit facilities at its foreign subsidiaries as of October 3, 2025 or September 27,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other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Management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significant foreign operations, for which the functional currencies are denominated primarily in euros, Swiss francs, Hong Kong dollars and Canadian dollars. As the values of the currencies of the foreign countries in which the Company has operations increase or decrease relative to the U.S. dollar, the sales, expenses, profits, losses, assets and liabilities of the Company’s foreign operations, as reported in the Company’s consolidated financial statements, increase or decrease, accordingly. Approximately 13% of the Company’s revenues for the fiscal year ended October 3, 2025 were denominated in currencies other than the U.S. dollar. Approximately 6% were denominated in euros and approximately 5% were denominated in Canadian dollars, with the remaining 2% denominated in various other foreign currencies. Changes in foreign currency exchange rates can cause unexpected financial losses or cash flow needs.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operates in a seasonal business and experiences significant fluctuations in operating cash flow as working capital needs increase in advance of the Company’s primary selling and cash generation season, and decline as accounts receivable are collected and cash is accumulated.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Commodities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Certain components used in the Company’s products are exposed to commodity price changes. The Company manages this risk through instruments such as purchase orders and non-cancellable supply contracts. Primary commodity price exposures include costs associated with metals, resins and packaging materials.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anticipates that changing costs of basic raw materials (including due to inflationary conditions in the economy) may impact future operating costs and, accordingly, the prices of its products. The Company is involved in continuing programs to mitigate the impact of cost increases through changes in product design and identification of sourcing and manufacturing efficiencies. Price increases and, in certain situations, price decreases are implemented for individual products, when appropriate.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results of operations and financial condition are presented based on historical cost.</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management discussion and analysis of its financial condition and results of operations are based upon the Company’s consolidated financial statements, which have been prepared in accordance with accounting principles generally accepted in the U.S. The preparation of these financial statements requires the Company to make estimates and judgments that affect the reported amounts of its assets, liabilities, sales and expenses, and related footnote disclosures. On an on-going basis, the Company evaluates its estimates for product returns, credit losses, inventories, long lived assets and goodwill, income taxes, warranty obligations, pensions and other post-retirement benefits, litigation and other subjective matters impacting the financial statements.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believes the following critical accounting policies affect its more significant judgments and estimates used in the preparation of its consolidated financial statements. Management has discussed these policies with the Audit Committee of the Company’s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values inventory at the lower of cost (determined using the first-in first-out method) or net realizable value. Management’s judgment is required to determine the reserve for obsolete or excess inventory. Inventory on hand may exceed future demand either because the product is outdated or because the amount on hand is more than will be used to meet future needs. Inventory reserves are estimated by the individual operating companies using standard quantitative measures based on criteria established by the Company. The Company also considers current forecast plans, as well as market and industry conditions in establishing reserve levels. Though the Company considers these reserve balances to be adequate, changes in economic conditions, customer inventory levels or competitive conditions could have a favorable or unfavorable effect on required reserve balances.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records a valuation allowance to reduce its deferred tax assets to the amount that is more likely than not to be realized. While the Company has considered future taxable income and ongoing prudent and feasible tax planning strategies in assessing the need for the valuation allowance, in the event the Company were to determine that it would not be able to realize all or part of its net deferred tax assets in the future, an adjustment to the deferred tax assets would be charged to income in the period such determination was made. Likewise, should the Company determine that it would be able to realize its deferred tax assets in the future in excess of its net recorded amount, an adjustment to the deferred tax assets would increase income in the period such determination was made. The Company recorded a reserve on US deferred tax assets in fiscal 2025. See Note 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consolidated financial statements included elsewhere in this report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Impairment</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or more frequently if events or changes in circumstances indicate that the assets might be impaired. Generally, annual impairment tests are performed by the Company in the fourth quarter of each fiscal year. Goodwill is tested for impairment at the reporting unit level.</w:t>
      </w:r>
    </w:p>
    <w:p>
      <w:pPr>
        <w:spacing w:after="0" w:line="20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assessing the recoverability of the Company’s goodwill, the Company estimates the fair value of the reporting unit to which the goodwill relates. Fair value of the reporting unit is estimated using a discounted cash flow model. If the fair value of a reporting unit exceeds its carrying value, no impairment exists. When the fair value of the reporting unit is less than it's carrying value, an impairment charge is recognized based on the excess of carrying amount over its fair value, not to exceed the carrying value of the goodwill. The Company recognized a goodwill impairment charge in the fourth quarter of fiscal 2024 of $11,173 in "Goodwill Impairment" in the accompanying Consolidated Statements of Operations in the Fishing segment, resulting in a full impairment of the Company's balance of goodwill. The Company did not recognize any goodwill impairment charges in 2025 or 2023. See Note 1, subheading "Goodwill," to the consolidated financial statements included elsewhere in this report for additional information.</w:t>
      </w:r>
    </w:p>
    <w:p>
      <w:pPr>
        <w:spacing w:after="0" w:line="21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discounted cash flow model used to estimate fair value of reporting units requires a number of key estimates and assumptions. The Company estimates the future cash flows of the reporting units based on historical and forecasted revenues and operating costs and applies a discount rate to the estimated future cash flows for purposes of the valuation. This discount rate is based on the estimated weighted average cost of capital, which includes certain assumptions made by management such</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market capital structure, market betas, the risk-free rate of return and the estimated costs of borrowing. Changes in these key estimates and assumptions, or in other assumptions used in this process, could materially affect our impairment analysis in a given year.</w:t>
      </w:r>
    </w:p>
    <w:p>
      <w:pPr>
        <w:spacing w:after="0" w:line="18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assessing the recoverability of the Company’s other indefinite lived intangible assets, the Company estimates the fair value of the various intangible assets. The fair value of trademarks and patents is estimated using the relief from royalty method. If the fair value of an intangible asset exceeds its carrying value, no impairment exists. When fair value is less than the carrying value of the intangible asset, an impairment loss is recognized for the amount of the difference, not to exceed the carrying value of the intangible asset.</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number of factors, many of which the Company has no ability to control, could affect its financial condition, operating results and business prospects and could cause actual results to differ from the estimates and assumptions that the Company uses in preparing its financial statements. These factors include: a prolonged global economic crisis, a significant decrease in demand for the Company’s products, a significant adverse change in legal factors or in the business climate, an adverse action or assessment by a regulator and successful efforts by the Company’s competitors to gain market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accrues a warranty reserve for estimated costs to provide warranty services. Warranty reserves are estimated using standard quantitative measures based on criteria established by the Company. Estimates of costs to service its warranty obligations are based on historical experience, expectation of future conditions and known product issues. To the extent the Company experiences increased warranty claim activity or increased costs associated with servicing those claims, revisions to the estimated warranty reserve would be required. The Company engages in product quality programs and processes, including monitoring and evaluating the quality of its suppliers, to help minimize warranty obligations.</w:t>
      </w:r>
    </w:p>
    <w:p>
      <w:pPr>
        <w:spacing w:after="0" w:line="200" w:lineRule="exact"/>
        <w:rPr>
          <w:sz w:val="20"/>
          <w:szCs w:val="20"/>
          <w:color w:val="auto"/>
        </w:rPr>
      </w:pPr>
    </w:p>
    <w:p>
      <w:pPr>
        <w:spacing w:after="0" w:line="24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included in Management’s Discussion and Analysis of Financial Condition and Results of Operations under the heading “Market Risk Management.”</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this item is included in the Company’s consolidated financial statements attached to this report on pages F-1 to F-35.</w:t>
      </w:r>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rFonts w:ascii="Times New Roman" w:cs="Times New Roman" w:eastAsia="Times New Roman" w:hAnsi="Times New Roman"/>
          <w:sz w:val="18"/>
          <w:szCs w:val="18"/>
          <w:b w:val="1"/>
          <w:bCs w:val="1"/>
          <w:color w:val="auto"/>
        </w:rPr>
      </w:pPr>
    </w:p>
    <w:p>
      <w:pPr>
        <w:ind w:left="66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disclosure controls and procedures (as defined in Rules 13a-15(e) and 15d-15(e) under the Securities Exchange Act of 1934) designed to ensure that information required to be disclosed by the Company in the reports that it files or submits under the Securities Exchange Act of 1934 is recorded, processed, summarized and reported within the time periods specified in the Securities and Exchange Commission’s rules and forms, and that the information required to be disclosed by the Company in reports that it files or submits under the Securities Exchange Act of 1934 is accumulated and communicated to its management, including its Chief Executive Officer and Chief Financial Officer, as appropriate to allow timely decisions regarding required disclosure. The Company carried out an evaluation as of October 3, 2025, under the supervision and with the participation of the Company’s management, including its Chief Executive Officer and Chief Financial Officer, of the effectiveness of the design and operation of the Company’s disclosure controls and procedures. Based on such evaluation, the Company’s Chief Executive Officer and Chief Financial Officer concluded that the Company’s disclosure controls and procedures were effective as of October 3, 2025 at reaching a level of reasonable assurance.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The Company has designed its disclosure controls and procedures to reach a level of reasonable assurance of achieving the desired control objectives.</w:t>
      </w:r>
    </w:p>
    <w:p>
      <w:pPr>
        <w:spacing w:after="0" w:line="224" w:lineRule="exact"/>
        <w:rPr>
          <w:rFonts w:ascii="Times New Roman" w:cs="Times New Roman" w:eastAsia="Times New Roman" w:hAnsi="Times New Roman"/>
          <w:sz w:val="18"/>
          <w:szCs w:val="18"/>
          <w:b w:val="1"/>
          <w:bCs w:val="1"/>
          <w:color w:val="auto"/>
        </w:rPr>
      </w:pPr>
    </w:p>
    <w:p>
      <w:pPr>
        <w:ind w:left="6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 of management required under this Item 9A is included on page F-2 of the Company’s Consolidated Financial Statements attached to this Report under the heading “Management’s Report on Internal Control over Financial Reporting” and is incorporated herein by reference.</w:t>
      </w:r>
    </w:p>
    <w:p>
      <w:pPr>
        <w:spacing w:after="0" w:line="184"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change in the Company’s internal control over financial reporting (as defined in Rules 13a-15(f) and 15d-15(f) under the Securities Exchange Act of 1934, as amended) that occurred during the Company’s most recently completed fiscal quarter that has materially affected, or is reasonably likely to materially affect, the Company’s internal control over financial reporting.</w:t>
      </w:r>
    </w:p>
    <w:p>
      <w:pPr>
        <w:spacing w:after="0" w:line="198"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56" w:lineRule="exact"/>
        <w:rPr>
          <w:rFonts w:ascii="Times New Roman" w:cs="Times New Roman" w:eastAsia="Times New Roman" w:hAnsi="Times New Roman"/>
          <w:sz w:val="18"/>
          <w:szCs w:val="18"/>
          <w:b w:val="1"/>
          <w:bCs w:val="1"/>
          <w:color w:val="auto"/>
        </w:rPr>
      </w:pPr>
    </w:p>
    <w:p>
      <w:pPr>
        <w:ind w:left="660" w:righ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RSM US LLP, the independent registered public accounting firm who audited the Company’s consolidated financial statements, has issued an attestation report on the Company’s internal control over financial reporting, which is contained in the Company’s consolidated financial statements under the heading “Report of Independent Registered Public Accounting Firm on Internal Control over Financial Reporting.”</w:t>
      </w:r>
    </w:p>
    <w:p>
      <w:pPr>
        <w:spacing w:after="0" w:line="200" w:lineRule="exact"/>
        <w:rPr>
          <w:sz w:val="20"/>
          <w:szCs w:val="20"/>
          <w:color w:val="auto"/>
        </w:rPr>
      </w:pP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Matters Required to be Disclosed on a Form 8-K</w:t>
      </w:r>
    </w:p>
    <w:p>
      <w:pPr>
        <w:spacing w:after="0" w:line="256"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Item 1.01 of Form 8-K</w:t>
      </w:r>
      <w:r>
        <w:rPr>
          <w:rFonts w:ascii="Times New Roman" w:cs="Times New Roman" w:eastAsia="Times New Roman" w:hAnsi="Times New Roman"/>
          <w:sz w:val="18"/>
          <w:szCs w:val="18"/>
          <w:color w:val="auto"/>
        </w:rPr>
        <w:t>: Effective as of December 9, 2025, the Company and certain of its subsidiaries entered into a Second Amended and Restated Credit Agreement dated as of December 9, 2025 among the Company, certain of the Company’s subsidiaries named therein, certain guarantors named therein, PNC Bank, National Association, as lender and as administrative agent, PNC Capital Markets LLC, as sole lead arranger and bookrunner, and the other lender named therein (the “Credit Agreement”). The Credit Agreement amends and restates the Company’s Amended and Restated Credit Agreement dated as of November 15, 2017, as previously amended effective July 15, 2021 and January 29, 2025, among the Company, certain of the Company’s subsidiaries named therein, PNC Bank, National Association, as lender and as administrative agent, PNC Capital Markets LLC, as sole lead arranger and bookrunner, and the other lender named therein. The material provisions of the new Credit Agreement are as follows:</w:t>
      </w:r>
    </w:p>
    <w:p>
      <w:pPr>
        <w:spacing w:after="0" w:line="219" w:lineRule="exact"/>
        <w:rPr>
          <w:sz w:val="20"/>
          <w:szCs w:val="20"/>
          <w:color w:val="auto"/>
        </w:rPr>
      </w:pPr>
    </w:p>
    <w:p>
      <w:pPr>
        <w:ind w:left="1300" w:right="8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Credit Agreement provides for borrowings of up to an aggregate principal amount not to exceed $50 million through December 9, 2029 (i.e., the maturity date), including letter of credit and swingline borrowing sublimits of $10 million each;</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left="1300" w:right="160" w:hanging="320"/>
        <w:spacing w:after="0" w:line="257"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new Credit Agreement are secured generally by substantially all of the personal property of the Company and the subsidiary borrowers. The new credit facility requires springing borrowing base certificate requirements if the availability under the facility is less than $25 million;</w:t>
      </w:r>
    </w:p>
    <w:p>
      <w:pPr>
        <w:spacing w:after="0" w:line="1"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Credit Agreement provides the Company with the option to request additional increases in the revolving credit facility for an additional aggregate amount of $50 million (i.e., an aggregate borrowing amount of $100 million) subject to the conditions of the Credit Agreement and subject to the approval of the Lenders;</w:t>
      </w:r>
    </w:p>
    <w:p>
      <w:pPr>
        <w:spacing w:after="0" w:line="1"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under the new Credit Agreement, at the Company’s option, based upon an overnight bank rate, SOFR or the prime rate plus an applicable margin and it resets the interest rate calculation at the Company’s option on an either one, three or six month basis by instituting an applicable margin based on the Company’s net leverage ratio (net of up to $25 million in unrestricted cash and cash equivalents on hand) for the trailing twelve month period. The applicable SOFR margin ranges from 1.25 percent to 2.00 percent;</w:t>
      </w:r>
    </w:p>
    <w:p>
      <w:pPr>
        <w:spacing w:after="0" w:line="2" w:lineRule="exact"/>
        <w:rPr>
          <w:sz w:val="20"/>
          <w:szCs w:val="20"/>
          <w:color w:val="auto"/>
        </w:rPr>
      </w:pPr>
    </w:p>
    <w:p>
      <w:pPr>
        <w:ind w:left="1300" w:right="320" w:hanging="323"/>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w:t>
        <w:tab/>
        <w:t>The new Credit Agreement requires the Company to maintain a net leverage ratio of less than 3:00 to 1.00 and an interest coverage ratio of not less than 3.50 : 1.00, each tested on a quarterly basis; and</w:t>
      </w:r>
    </w:p>
    <w:p>
      <w:pPr>
        <w:spacing w:after="0" w:line="1" w:lineRule="exact"/>
        <w:rPr>
          <w:sz w:val="20"/>
          <w:szCs w:val="20"/>
          <w:color w:val="auto"/>
        </w:rPr>
      </w:pPr>
    </w:p>
    <w:p>
      <w:pPr>
        <w:ind w:left="1300" w:right="320" w:hanging="320"/>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Credit Agreement restricts the Company’s ability to incur additional debt and engage in certain asset or stock acquisitions or dispositions and includes maximum leverage ratio and minimum interest coverage ratio covenants.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160"/>
        <w:spacing w:after="0" w:line="260" w:lineRule="auto"/>
        <w:rPr>
          <w:sz w:val="20"/>
          <w:szCs w:val="20"/>
          <w:color w:val="auto"/>
        </w:rPr>
      </w:pPr>
      <w:r>
        <w:rPr>
          <w:rFonts w:ascii="Times New Roman" w:cs="Times New Roman" w:eastAsia="Times New Roman" w:hAnsi="Times New Roman"/>
          <w:sz w:val="18"/>
          <w:szCs w:val="18"/>
          <w:color w:val="auto"/>
        </w:rPr>
        <w:t>This description of the Credit Agreement does not purport to be complete and is qualified in its entirety by the terms and conditions of the Credit Agreement, a copy of which is attached hereto as Exhibit 10.20, and which is incorporated herein by reference.</w:t>
      </w:r>
    </w:p>
    <w:p>
      <w:pPr>
        <w:spacing w:after="0" w:line="208" w:lineRule="exact"/>
        <w:rPr>
          <w:sz w:val="20"/>
          <w:szCs w:val="20"/>
          <w:color w:val="auto"/>
        </w:rPr>
      </w:pPr>
    </w:p>
    <w:p>
      <w:pPr>
        <w:ind w:left="660" w:right="60"/>
        <w:spacing w:after="0" w:line="281" w:lineRule="auto"/>
        <w:rPr>
          <w:sz w:val="20"/>
          <w:szCs w:val="20"/>
          <w:color w:val="auto"/>
        </w:rPr>
      </w:pPr>
      <w:r>
        <w:rPr>
          <w:rFonts w:ascii="Times New Roman" w:cs="Times New Roman" w:eastAsia="Times New Roman" w:hAnsi="Times New Roman"/>
          <w:sz w:val="17"/>
          <w:szCs w:val="17"/>
          <w:u w:val="single" w:color="auto"/>
          <w:color w:val="auto"/>
        </w:rPr>
        <w:t>Item 1.02 of Form 8-K</w:t>
      </w:r>
      <w:r>
        <w:rPr>
          <w:rFonts w:ascii="Times New Roman" w:cs="Times New Roman" w:eastAsia="Times New Roman" w:hAnsi="Times New Roman"/>
          <w:sz w:val="17"/>
          <w:szCs w:val="17"/>
          <w:color w:val="auto"/>
        </w:rPr>
        <w:t>: On December 9, 2025, as described in Item 1.01 above, the Company entered into the new Credit Agreement which amended and restated the Company’s Amended and Restated Credit Agreement dated as of November 15, 2017, as previously amended effective July 15, 2021 and January 29, 2025, among the Company, certain of the Company’s subsidiaries named therein, PNC Bank, National Association, as lender and as administrative agent, PNC Capital Markets LLC, as sole lead arranger and bookrunner, and the other lender named therein.</w:t>
      </w:r>
    </w:p>
    <w:p>
      <w:pPr>
        <w:spacing w:after="0" w:line="191"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Item 2.03 of Form 8-K</w:t>
      </w:r>
      <w:r>
        <w:rPr>
          <w:rFonts w:ascii="Times New Roman" w:cs="Times New Roman" w:eastAsia="Times New Roman" w:hAnsi="Times New Roman"/>
          <w:sz w:val="18"/>
          <w:szCs w:val="18"/>
          <w:color w:val="auto"/>
        </w:rPr>
        <w:t>: On December 9, 2025, the Company became obligated on direct financial obligations pursuant to the terms of the new Credit Agreement, as described in Item 1.01 above.</w:t>
      </w:r>
    </w:p>
    <w:p>
      <w:pPr>
        <w:spacing w:after="0" w:line="185"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Plans</w:t>
      </w:r>
    </w:p>
    <w:p>
      <w:pPr>
        <w:spacing w:after="0" w:line="256"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 period ended October 3, 2025, no director or officer of the Company adopted or terminated a "Rule 10b5-1 trading arrangement" or "non-Rule 10b5-1 trading arrangement," as each term is defined in Item 408(a) of Regulation S-K, nor did the Company during such fiscal quarter adopt or terminate any "Rule 10b5-1 trading arrangement."</w:t>
      </w: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headings “Proposal 1: Election of Directors,” “Executive Officers,” “Section 16(a) Reports,” "Directors Meetings and Committees - Nominating and Corporate Governance Committee” and “Audit Committee Matters – Audit Committee Financial Expert” in the Company’s Proxy Statement for the 2026 Annual Meeting of Shareholders, which will be filed with the Securities and Exchange Commission on or before January 31, 2026. Information regarding the Company’s Code of Business Ethics is incorporated herein by reference to the discussion under “Corporate Governance Matters – Employee Code of Conduct and Code of Ethics; Corporate Governance Guidelines; and Procedures for Reporting of Accounting Concerns” in the Company's Proxy Statement for the 2026 Annual Meeting of Shareholders, which will be filed with the Securities and Exchange Commission on or before January 31, 2026.</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Audit Committee of the Company’s Board of Directors is an “audit committee” for purposes of Section 3(a)(58)(A) of the Securities Exchange Act of 1934. The members of the Audit Committee are Edward F. Lang (Chairman), Jeffrey M. Stutz, Richard ("Casey") Sheahan, and Edward Stevens.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adopted the Johnson Outdoors Insider Trading Policy which governs the purchase, sale and/or other disposition of the Company's securities, including its Class A Common Stock, by its directors, officers and employees that is reasonably designed to promote compliance with applicable insider trading laws, rules and regulations. A copy of the Johnson Outdoors Insider Trading Policy is filed as Exhibit 19 to this Report.</w:t>
      </w:r>
    </w:p>
    <w:p>
      <w:pPr>
        <w:spacing w:after="0" w:line="200" w:lineRule="exact"/>
        <w:rPr>
          <w:sz w:val="20"/>
          <w:szCs w:val="20"/>
          <w:color w:val="auto"/>
        </w:rPr>
      </w:pPr>
    </w:p>
    <w:p>
      <w:pPr>
        <w:spacing w:after="0" w:line="2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headings “Directors Compensation” and “Executive Compensation” and “CEO Pay Relative to Median Pay of our Employees” in the Company’s Proxy Statement for the 2026 Annual Meeting of Shareholders, which will be filed with the Securities and Exchange Commission on or before January 31, 2026.</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incorporated by reference from “Report of the Compensation Committee” in the Company’s Proxy Statement for the 2026 Annual Meeting of Shareholders, which will be filed with the Securities and Exchange Commission on or before January 31, 2026, shall not be deemed “filed” for purposes of Section 18 of the Securities Exchange Act of 1934 nor shall it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 “Stock Ownership of Management and Others” in the Company’s Proxy Statement for the 2026 Annual Meeting of Shareholders, which will be filed with the Securities and Exchange Commission on or before January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share information, as of October 3, 2025, for the Company’s equity compensation plans, including the Johnson Outdoors Inc. 2012 Non-Employee Director Stock Ownership Plan, the Johnson Outdoors Inc. 2010 Long-Term Stock Incentive Plan, the Johnson Outdoors Inc. 2020 Long-Term Stock Incentive Plan and the Johnson Outdoors Inc. 2009 Employees' Stock Purchase Plan. All of these plans have been approved by the Company’s shareholders.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9"/>
              </w:rPr>
              <w:t>Number of Common</w:t>
            </w: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Number of Common</w:t>
            </w:r>
          </w:p>
        </w:tc>
        <w:tc>
          <w:tcPr>
            <w:tcW w:w="400" w:type="dxa"/>
            <w:vAlign w:val="bottom"/>
            <w:tcBorders>
              <w:top w:val="single" w:sz="8" w:color="auto"/>
            </w:tcBorders>
          </w:tcPr>
          <w:p>
            <w:pPr>
              <w:spacing w:after="0"/>
              <w:rPr>
                <w:sz w:val="17"/>
                <w:szCs w:val="17"/>
                <w:color w:val="auto"/>
              </w:rPr>
            </w:pPr>
          </w:p>
        </w:tc>
      </w:tr>
      <w:tr>
        <w:trPr>
          <w:trHeight w:val="189"/>
        </w:trPr>
        <w:tc>
          <w:tcPr>
            <w:tcW w:w="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6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Shares to Be Issued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jc w:val="center"/>
              <w:ind w:right="470"/>
              <w:spacing w:after="0" w:line="189" w:lineRule="exact"/>
              <w:rPr>
                <w:sz w:val="20"/>
                <w:szCs w:val="20"/>
                <w:color w:val="auto"/>
              </w:rPr>
            </w:pPr>
            <w:r>
              <w:rPr>
                <w:rFonts w:ascii="Times New Roman" w:cs="Times New Roman" w:eastAsia="Times New Roman" w:hAnsi="Times New Roman"/>
                <w:sz w:val="18"/>
                <w:szCs w:val="18"/>
                <w:color w:val="auto"/>
                <w:w w:val="98"/>
              </w:rPr>
              <w:t>Weighted-average</w:t>
            </w:r>
          </w:p>
        </w:tc>
        <w:tc>
          <w:tcPr>
            <w:tcW w:w="2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 Available for</w:t>
            </w:r>
          </w:p>
        </w:tc>
        <w:tc>
          <w:tcPr>
            <w:tcW w:w="400" w:type="dxa"/>
            <w:vAlign w:val="bottom"/>
          </w:tcPr>
          <w:p>
            <w:pPr>
              <w:spacing w:after="0"/>
              <w:rPr>
                <w:sz w:val="16"/>
                <w:szCs w:val="16"/>
                <w:color w:val="auto"/>
              </w:rPr>
            </w:pPr>
          </w:p>
        </w:tc>
      </w:tr>
      <w:tr>
        <w:trPr>
          <w:trHeight w:val="175"/>
        </w:trPr>
        <w:tc>
          <w:tcPr>
            <w:tcW w:w="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Upon Exercise of</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9"/>
              </w:rPr>
              <w:t>Exercise Price of</w:t>
            </w:r>
          </w:p>
        </w:tc>
        <w:tc>
          <w:tcPr>
            <w:tcW w:w="2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Future Issuance Under</w:t>
            </w:r>
          </w:p>
        </w:tc>
        <w:tc>
          <w:tcPr>
            <w:tcW w:w="400" w:type="dxa"/>
            <w:vAlign w:val="bottom"/>
          </w:tcPr>
          <w:p>
            <w:pPr>
              <w:spacing w:after="0"/>
              <w:rPr>
                <w:sz w:val="15"/>
                <w:szCs w:val="15"/>
                <w:color w:val="auto"/>
              </w:rPr>
            </w:pPr>
          </w:p>
        </w:tc>
      </w:tr>
      <w:tr>
        <w:trPr>
          <w:trHeight w:val="175"/>
        </w:trPr>
        <w:tc>
          <w:tcPr>
            <w:tcW w:w="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2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Equity Compensation</w:t>
            </w:r>
          </w:p>
        </w:tc>
        <w:tc>
          <w:tcPr>
            <w:tcW w:w="400" w:type="dxa"/>
            <w:vAlign w:val="bottom"/>
          </w:tcPr>
          <w:p>
            <w:pPr>
              <w:spacing w:after="0"/>
              <w:rPr>
                <w:sz w:val="15"/>
                <w:szCs w:val="15"/>
                <w:color w:val="auto"/>
              </w:rPr>
            </w:pPr>
          </w:p>
        </w:tc>
      </w:tr>
      <w:tr>
        <w:trPr>
          <w:trHeight w:val="250"/>
        </w:trPr>
        <w:tc>
          <w:tcPr>
            <w:tcW w:w="3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Plans</w:t>
            </w:r>
          </w:p>
        </w:tc>
        <w:tc>
          <w:tcPr>
            <w:tcW w:w="400" w:type="dxa"/>
            <w:vAlign w:val="bottom"/>
            <w:tcBorders>
              <w:bottom w:val="single" w:sz="8" w:color="CCEEFF"/>
            </w:tcBorders>
          </w:tcPr>
          <w:p>
            <w:pPr>
              <w:spacing w:after="0"/>
              <w:rPr>
                <w:sz w:val="21"/>
                <w:szCs w:val="2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Stock Incentive Plan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75"/>
        </w:trPr>
        <w:tc>
          <w:tcPr>
            <w:tcW w:w="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2012</w:t>
            </w:r>
          </w:p>
        </w:tc>
        <w:tc>
          <w:tcPr>
            <w:tcW w:w="32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Non-Employee Director Stock Ownership</w:t>
            </w: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32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r>
      <w:tr>
        <w:trPr>
          <w:trHeight w:val="175"/>
        </w:trPr>
        <w:tc>
          <w:tcPr>
            <w:tcW w:w="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2023</w:t>
            </w:r>
          </w:p>
        </w:tc>
        <w:tc>
          <w:tcPr>
            <w:tcW w:w="32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Non-Employee Director Stock Ownership</w:t>
            </w:r>
          </w:p>
        </w:tc>
        <w:tc>
          <w:tcPr>
            <w:tcW w:w="2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4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32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25,807</w:t>
            </w:r>
          </w:p>
        </w:tc>
        <w:tc>
          <w:tcPr>
            <w:tcW w:w="400" w:type="dxa"/>
            <w:vAlign w:val="bottom"/>
            <w:shd w:val="clear" w:color="auto" w:fill="CCEEFF"/>
          </w:tcPr>
          <w:p>
            <w:pPr>
              <w:spacing w:after="0"/>
              <w:rPr>
                <w:sz w:val="21"/>
                <w:szCs w:val="21"/>
                <w:color w:val="auto"/>
              </w:rPr>
            </w:pPr>
          </w:p>
        </w:tc>
      </w:tr>
      <w:tr>
        <w:trPr>
          <w:trHeight w:val="236"/>
        </w:trPr>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2009</w:t>
            </w:r>
          </w:p>
        </w:tc>
        <w:tc>
          <w:tcPr>
            <w:tcW w:w="3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Employees' Stock Purchase Plan</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62,187</w:t>
            </w:r>
          </w:p>
        </w:tc>
        <w:tc>
          <w:tcPr>
            <w:tcW w:w="400" w:type="dxa"/>
            <w:vAlign w:val="bottom"/>
            <w:tcBorders>
              <w:bottom w:val="single" w:sz="8" w:color="auto"/>
            </w:tcBorders>
          </w:tcPr>
          <w:p>
            <w:pPr>
              <w:spacing w:after="0"/>
              <w:rPr>
                <w:sz w:val="20"/>
                <w:szCs w:val="20"/>
                <w:color w:val="auto"/>
              </w:rPr>
            </w:pPr>
          </w:p>
        </w:tc>
      </w:tr>
      <w:tr>
        <w:trPr>
          <w:trHeight w:val="255"/>
        </w:trPr>
        <w:tc>
          <w:tcPr>
            <w:tcW w:w="3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All Plans</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126,730</w:t>
            </w:r>
          </w:p>
        </w:tc>
        <w:tc>
          <w:tcPr>
            <w:tcW w:w="3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346,296</w:t>
            </w:r>
          </w:p>
        </w:tc>
        <w:tc>
          <w:tcPr>
            <w:tcW w:w="400" w:type="dxa"/>
            <w:vAlign w:val="bottom"/>
            <w:tcBorders>
              <w:bottom w:val="single" w:sz="8" w:color="auto"/>
            </w:tcBorders>
            <w:shd w:val="clear" w:color="auto" w:fill="CCEEFF"/>
          </w:tcPr>
          <w:p>
            <w:pPr>
              <w:spacing w:after="0"/>
              <w:rPr>
                <w:sz w:val="21"/>
                <w:szCs w:val="21"/>
                <w:color w:val="auto"/>
              </w:rPr>
            </w:pPr>
          </w:p>
        </w:tc>
      </w:tr>
      <w:tr>
        <w:trPr>
          <w:trHeight w:val="20"/>
        </w:trPr>
        <w:tc>
          <w:tcPr>
            <w:tcW w:w="40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121,253 performance stock unit awards at their target values. The ultimate amount of performance stock units that could vest can range from</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to 200% of the target amount with respect to awards granted in fiscal 2025 and 0% to 150% with respect to awards granted in fiscal years prior to 2025, or from 0 units to 210,776 units for all awards.</w:t>
      </w:r>
    </w:p>
    <w:p>
      <w:pPr>
        <w:spacing w:after="0" w:line="208" w:lineRule="exact"/>
        <w:rPr>
          <w:rFonts w:ascii="Times New Roman" w:cs="Times New Roman" w:eastAsia="Times New Roman" w:hAnsi="Times New Roman"/>
          <w:sz w:val="18"/>
          <w:szCs w:val="18"/>
          <w:color w:val="auto"/>
        </w:rPr>
      </w:pPr>
    </w:p>
    <w:p>
      <w:pPr>
        <w:ind w:right="62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47,526 of future shares to be issued, as well as up to 210,776 shares of performance stock units that may be issued in shares of Class A Common Stock at the maximum earned level.</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 “Certain Relationships and Related Transactions” in the Company’s Proxy Statement for the 2026 Annual Meeting of Shareholders, which will be filed with the Securities and Exchange Commission on or before January 31, 2026. Information regarding director independence is incorporated by reference to the discussions under “Corporate Governance Matters-Director Independence” in the Company’s Proxy Statement for the 2026 Annual Meeting of Shareholders, which will be filed with the Securities and Exchange Commission on or before January 31, 2026.</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5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 “Audit Committee Matters – Fees of Independent Registered Public Accounting Firm” in the Company’s Proxy Statement for the 2026 Annual Meeting of Shareholders, which will be filed with the Securities and Exchange Commission on or before January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Item 8 of Part II of this report are the following:</w:t>
      </w:r>
    </w:p>
    <w:p>
      <w:pPr>
        <w:spacing w:after="0" w:line="252" w:lineRule="exact"/>
        <w:rPr>
          <w:sz w:val="20"/>
          <w:szCs w:val="20"/>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 Years ended October 3, 2025, September 27, 2024 and September 29, 2023</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 Years ended October 3, 2025, September 27, 2024 and September 29, 2023</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 October 3, 2025 and September 27, 2024</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Shareholders’ Equity – Years ended October 3, 2025, September 27, 2024 and September 29, 2023</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Years ended October 3, 2025, September 27, 2024 and September 29, 2023</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Racine and State of Wisconsin, on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December 2025.</w:t>
      </w:r>
    </w:p>
    <w:p>
      <w:pPr>
        <w:ind w:left="740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ind w:left="740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ind w:left="66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17145</wp:posOffset>
            </wp:positionV>
            <wp:extent cx="24517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1735" cy="17145"/>
                    </a:xfrm>
                    <a:prstGeom prst="rect">
                      <a:avLst/>
                    </a:prstGeom>
                    <a:noFill/>
                  </pic:spPr>
                </pic:pic>
              </a:graphicData>
            </a:graphic>
          </wp:anchor>
        </w:drawing>
      </w:r>
    </w:p>
    <w:p>
      <w:pPr>
        <w:spacing w:after="0" w:line="1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Helen P. Johnson-Leipold</w:t>
      </w:r>
    </w:p>
    <w:p>
      <w:pPr>
        <w:ind w:left="74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27"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indicated on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Helen P. Johnson-Leipold</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Chairman and Chief Executive Officer and 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(Helen P. Johnson-Leipold)</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M. Fahey, Jr.</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Vice Chairman of the Board and Lead Outside 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Fahey, Jr.)</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Stevens</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Stevens)</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F. Lang</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F. Lang)</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Button Bell</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Button Bell)</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Sheahan</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(“Casey”) Sheahan)</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M. Stutz</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M. Stutz)</w:t>
            </w:r>
          </w:p>
        </w:tc>
        <w:tc>
          <w:tcPr>
            <w:tcW w:w="4420" w:type="dxa"/>
            <w:vAlign w:val="bottom"/>
          </w:tcPr>
          <w:p>
            <w:pPr>
              <w:spacing w:after="0"/>
              <w:rPr>
                <w:sz w:val="20"/>
                <w:szCs w:val="20"/>
                <w:color w:val="auto"/>
              </w:rPr>
            </w:pPr>
          </w:p>
        </w:tc>
      </w:tr>
      <w:tr>
        <w:trPr>
          <w:trHeight w:val="50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Annie Zipfel</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(Annie Zipfel)</w:t>
            </w:r>
          </w:p>
        </w:tc>
        <w:tc>
          <w:tcPr>
            <w:tcW w:w="4420" w:type="dxa"/>
            <w:vAlign w:val="bottom"/>
          </w:tcPr>
          <w:p>
            <w:pPr>
              <w:spacing w:after="0"/>
              <w:rPr>
                <w:sz w:val="20"/>
                <w:szCs w:val="20"/>
                <w:color w:val="auto"/>
              </w:rPr>
            </w:pPr>
          </w:p>
        </w:tc>
      </w:tr>
      <w:tr>
        <w:trPr>
          <w:trHeight w:val="50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G. Alexander</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G. Alexander)</w:t>
            </w:r>
          </w:p>
        </w:tc>
        <w:tc>
          <w:tcPr>
            <w:tcW w:w="4420" w:type="dxa"/>
            <w:vAlign w:val="bottom"/>
          </w:tcPr>
          <w:p>
            <w:pPr>
              <w:spacing w:after="0"/>
              <w:rPr>
                <w:sz w:val="20"/>
                <w:szCs w:val="20"/>
                <w:color w:val="auto"/>
              </w:rPr>
            </w:pPr>
          </w:p>
        </w:tc>
      </w:tr>
      <w:tr>
        <w:trPr>
          <w:trHeight w:val="50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W. Johnson</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W. Johnson)</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10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Title</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20" w:type="dxa"/>
            <w:vAlign w:val="bottom"/>
            <w:shd w:val="clear" w:color="auto" w:fill="CCEEFF"/>
          </w:tcPr>
          <w:p>
            <w:pPr>
              <w:spacing w:after="0"/>
              <w:rPr>
                <w:sz w:val="19"/>
                <w:szCs w:val="19"/>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80" w:type="dxa"/>
            <w:vAlign w:val="bottom"/>
          </w:tcPr>
          <w:p>
            <w:pPr>
              <w:spacing w:after="0"/>
              <w:rPr>
                <w:sz w:val="16"/>
                <w:szCs w:val="16"/>
                <w:color w:val="auto"/>
              </w:rPr>
            </w:pPr>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Articles of Incorporation of the Company as amended through February 17, 2000. (Filed as Exhibit 3.1(a) to the Company’s Form 10-Q for</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quarter ended March 31, 2000 and incorporated herein by reference.)</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20" w:type="dxa"/>
            <w:vAlign w:val="bottom"/>
            <w:shd w:val="clear" w:color="auto" w:fill="CCEEFF"/>
          </w:tcPr>
          <w:p>
            <w:pPr>
              <w:spacing w:after="0"/>
              <w:rPr>
                <w:sz w:val="19"/>
                <w:szCs w:val="19"/>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80" w:type="dxa"/>
            <w:vAlign w:val="bottom"/>
          </w:tcPr>
          <w:p>
            <w:pPr>
              <w:spacing w:after="0"/>
              <w:rPr>
                <w:sz w:val="16"/>
                <w:szCs w:val="16"/>
                <w:color w:val="auto"/>
              </w:rPr>
            </w:pPr>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Bylaws of the Company as amended and restated through December 6, 2010. (Filed as Exhibit 3.2 to the Company’s Form 10-K for the year</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ended October 1, 2010 and incorporated herein by reference.)</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20" w:type="dxa"/>
            <w:vAlign w:val="bottom"/>
            <w:shd w:val="clear" w:color="auto" w:fill="CCEEFF"/>
          </w:tcPr>
          <w:p>
            <w:pPr>
              <w:spacing w:after="0"/>
              <w:rPr>
                <w:sz w:val="23"/>
                <w:szCs w:val="23"/>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80" w:type="dxa"/>
            <w:vAlign w:val="bottom"/>
          </w:tcPr>
          <w:p>
            <w:pPr>
              <w:spacing w:after="0"/>
              <w:rPr>
                <w:sz w:val="16"/>
                <w:szCs w:val="16"/>
                <w:color w:val="auto"/>
              </w:rPr>
            </w:pPr>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Description of Registrant's Securities (Filed as Exhibit 4.1 to the Company's Form 10-K for the year ended September 27, 2019 and</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20" w:type="dxa"/>
            <w:vAlign w:val="bottom"/>
            <w:shd w:val="clear" w:color="auto" w:fill="CCEEFF"/>
          </w:tcPr>
          <w:p>
            <w:pPr>
              <w:spacing w:after="0"/>
              <w:rPr>
                <w:sz w:val="19"/>
                <w:szCs w:val="19"/>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1</w:t>
              </w:r>
            </w:hyperlink>
          </w:p>
        </w:tc>
        <w:tc>
          <w:tcPr>
            <w:tcW w:w="480" w:type="dxa"/>
            <w:vAlign w:val="bottom"/>
          </w:tcPr>
          <w:p>
            <w:pPr>
              <w:spacing w:after="0"/>
              <w:rPr>
                <w:sz w:val="16"/>
                <w:szCs w:val="16"/>
                <w:color w:val="auto"/>
              </w:rPr>
            </w:pPr>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Johnson Outdoors Inc. Class B common stock Amended and Restated Voting Trust Agreement, dated as of February 16, 2010 (Filed as</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Exhibit 2 to Amendment No. 14 to the Schedule 13D filed by Helen P. Johnson-Leipold on February 24, 2017 and incorporated herein by</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reference.)</w:t>
            </w:r>
          </w:p>
        </w:tc>
      </w:tr>
      <w:tr>
        <w:trPr>
          <w:trHeight w:val="121"/>
        </w:trPr>
        <w:tc>
          <w:tcPr>
            <w:tcW w:w="340" w:type="dxa"/>
            <w:vAlign w:val="bottom"/>
            <w:gridSpan w:val="3"/>
          </w:tcPr>
          <w:p>
            <w:pPr>
              <w:spacing w:after="0"/>
              <w:rPr>
                <w:sz w:val="10"/>
                <w:szCs w:val="10"/>
                <w:color w:val="auto"/>
              </w:rPr>
            </w:pPr>
          </w:p>
        </w:tc>
        <w:tc>
          <w:tcPr>
            <w:tcW w:w="480" w:type="dxa"/>
            <w:vAlign w:val="bottom"/>
          </w:tcPr>
          <w:p>
            <w:pPr>
              <w:spacing w:after="0"/>
              <w:rPr>
                <w:sz w:val="10"/>
                <w:szCs w:val="10"/>
                <w:color w:val="auto"/>
              </w:rPr>
            </w:pPr>
          </w:p>
        </w:tc>
        <w:tc>
          <w:tcPr>
            <w:tcW w:w="10420" w:type="dxa"/>
            <w:vAlign w:val="bottom"/>
          </w:tcPr>
          <w:p>
            <w:pPr>
              <w:spacing w:after="0"/>
              <w:rPr>
                <w:sz w:val="10"/>
                <w:szCs w:val="10"/>
                <w:color w:val="auto"/>
              </w:rPr>
            </w:pPr>
          </w:p>
        </w:tc>
      </w:tr>
      <w:tr>
        <w:trPr>
          <w:trHeight w:val="230"/>
        </w:trPr>
        <w:tc>
          <w:tcPr>
            <w:tcW w:w="340" w:type="dxa"/>
            <w:vAlign w:val="bottom"/>
            <w:gridSpan w:val="3"/>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20" w:type="dxa"/>
            <w:vAlign w:val="bottom"/>
            <w:shd w:val="clear" w:color="auto" w:fill="CCEEFF"/>
          </w:tcPr>
          <w:p>
            <w:pPr>
              <w:spacing w:after="0"/>
              <w:rPr>
                <w:sz w:val="19"/>
                <w:szCs w:val="19"/>
                <w:color w:val="auto"/>
              </w:rPr>
            </w:pPr>
          </w:p>
        </w:tc>
      </w:tr>
      <w:tr>
        <w:trPr>
          <w:trHeight w:val="189"/>
        </w:trPr>
        <w:tc>
          <w:tcPr>
            <w:tcW w:w="8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Registration Rights Agreement regarding Johnson Outdoors Inc. common stock issued to the Johnson family prior to the acquisition of</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1042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Johnson Diversified, Inc. (Filed as Exhibit 10.1 to the Company’s Form 10-K dated and filed with the Securities and Exchange Commission</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 December 8, 2017 and incorporated herein by reference.)</w:t>
            </w:r>
          </w:p>
        </w:tc>
      </w:tr>
      <w:tr>
        <w:trPr>
          <w:trHeight w:val="234"/>
        </w:trPr>
        <w:tc>
          <w:tcPr>
            <w:tcW w:w="340" w:type="dxa"/>
            <w:vAlign w:val="bottom"/>
            <w:gridSpan w:val="3"/>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20" w:type="dxa"/>
            <w:vAlign w:val="bottom"/>
            <w:shd w:val="clear" w:color="auto" w:fill="CCEEFF"/>
          </w:tcPr>
          <w:p>
            <w:pPr>
              <w:spacing w:after="0"/>
              <w:rPr>
                <w:sz w:val="20"/>
                <w:szCs w:val="20"/>
                <w:color w:val="auto"/>
              </w:rPr>
            </w:pPr>
          </w:p>
        </w:tc>
      </w:tr>
      <w:tr>
        <w:trPr>
          <w:trHeight w:val="189"/>
        </w:trPr>
        <w:tc>
          <w:tcPr>
            <w:tcW w:w="8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Registration Rights Agreement regarding Johnson Outdoors Inc. Class A common stock held by Mr. Samuel C. Johnson. (Filed as Exhibit</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1042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10.2 to the Company’s Form 10-K dated and filed with the Securities and Exchange Commission on December 8, 2017 and incorporated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234"/>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2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180"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u w:val="single" w:color="auto"/>
            <w:color w:val="0000FF"/>
          </w:rPr>
          <w:t>10.3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u w:val="single" w:color="auto"/>
            <w:color w:val="0000FF"/>
          </w:rPr>
          <w:t>10.4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u w:val="single" w:color="auto"/>
            <w:color w:val="0000FF"/>
          </w:rPr>
          <w:t>10.5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u w:val="single" w:color="auto"/>
            <w:color w:val="0000FF"/>
          </w:rPr>
          <w:t>10.6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u w:val="single" w:color="auto"/>
            <w:color w:val="0000FF"/>
          </w:rPr>
          <w:t>10.7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5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10.8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u w:val="single" w:color="auto"/>
            <w:color w:val="0000FF"/>
          </w:rPr>
          <w:t>10.9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 w:lineRule="exact"/>
        <w:rPr>
          <w:sz w:val="20"/>
          <w:szCs w:val="20"/>
          <w:color w:val="auto"/>
        </w:rPr>
      </w:pPr>
      <w:r>
        <w:rPr>
          <w:sz w:val="20"/>
          <w:szCs w:val="20"/>
          <w:color w:val="auto"/>
        </w:rPr>
        <w:br w:type="column"/>
      </w:r>
    </w:p>
    <w:p>
      <w:pPr>
        <w:jc w:val="both"/>
        <w:ind w:right="240"/>
        <w:spacing w:after="0" w:line="234" w:lineRule="auto"/>
        <w:rPr>
          <w:sz w:val="20"/>
          <w:szCs w:val="20"/>
          <w:color w:val="auto"/>
        </w:rPr>
      </w:pPr>
      <w:r>
        <w:rPr>
          <w:rFonts w:ascii="Times New Roman" w:cs="Times New Roman" w:eastAsia="Times New Roman" w:hAnsi="Times New Roman"/>
          <w:sz w:val="18"/>
          <w:szCs w:val="18"/>
          <w:color w:val="auto"/>
        </w:rPr>
        <w:t>Johnson Outdoors Inc. 2000 Long-Term Stock Incentive Plan. (Filed as Exhibit 99.1 to the Company’s Current Report on Form 8-K dated July 29, 2005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0"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Johnson Outdoors Inc. Worldwide Key Executives’ Discretionary Bonus Plan. (Filed as Appendix A to the Company’s Proxy Statement on Schedule 14A filed with the Securities and Exchange Commission on January 13, 2014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Johnson Outdoors Inc. 2003 Non-Employee Director Stock Ownership Plan. (Filed as Exhibit 10.2 to the Company’s Form 10-Q dated April 2, 2004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Form of Restricted Stock Agreement under Johnson Outdoors Inc. 2003 Non-Employee Director Stock Ownership Plan. (Filed as Exhibit 4.2 to the Company’s Form S-8 Registration Statement No. 333-115298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Form of Stock Option Agreement under Johnson Outdoors Inc. 2003 Non-Employee Director Stock Ownership Plan. (Filed as Exhibit 4.3 to the Company’s Form S-8 Registration Statement No. 333-115298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78105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Credit Agreement dated as of November 15, 2017 among Johnson Outdoors Inc., certain subsidiaries of Johnson</w:t>
      </w:r>
    </w:p>
    <w:p>
      <w:pPr>
        <w:spacing w:after="0" w:line="2" w:lineRule="exact"/>
        <w:rPr>
          <w:sz w:val="20"/>
          <w:szCs w:val="20"/>
          <w:color w:val="auto"/>
        </w:rPr>
      </w:pPr>
    </w:p>
    <w:p>
      <w:pPr>
        <w:jc w:val="both"/>
        <w:ind w:right="240"/>
        <w:spacing w:after="0" w:line="218" w:lineRule="auto"/>
        <w:rPr>
          <w:sz w:val="20"/>
          <w:szCs w:val="20"/>
          <w:color w:val="auto"/>
        </w:rPr>
      </w:pPr>
      <w:r>
        <w:rPr>
          <w:rFonts w:ascii="Times New Roman" w:cs="Times New Roman" w:eastAsia="Times New Roman" w:hAnsi="Times New Roman"/>
          <w:sz w:val="18"/>
          <w:szCs w:val="18"/>
          <w:color w:val="auto"/>
        </w:rPr>
        <w:t>Outdoors Inc., PNC Bank, National Association, as lender and administrative agent, PNC Capital markets LLC, as sole lead arranger and bookrunner, and the other lender named therein (filed as Exhibit 99.1 to the current report on Form 8-K dated and filed with the Securities and Exchange Commission on November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635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Johnson Outdoors Inc. 2009 Employees’ Stock Purchase Plan. (Filed as Exhibit 99.2 to the current report on Form 8-K dated and filed with the Securities and Exchange Commission on March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-4445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460" w:space="600"/>
            <w:col w:w="1018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Table of Contents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u w:val="single" w:color="auto"/>
            <w:color w:val="0000FF"/>
          </w:rPr>
          <w:t>10.10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u w:val="single" w:color="auto"/>
            <w:color w:val="0000FF"/>
          </w:rPr>
          <w:t>10.11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u w:val="single" w:color="auto"/>
            <w:color w:val="0000FF"/>
          </w:rPr>
          <w:t>10.12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u w:val="single" w:color="auto"/>
            <w:color w:val="0000FF"/>
          </w:rPr>
          <w:t>10.13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u w:val="single" w:color="auto"/>
            <w:color w:val="0000FF"/>
          </w:rPr>
          <w:t>10.14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0" w:lineRule="exact"/>
        <w:rPr>
          <w:sz w:val="20"/>
          <w:szCs w:val="20"/>
          <w:color w:val="auto"/>
        </w:rPr>
      </w:pPr>
    </w:p>
    <w:p>
      <w:pPr>
        <w:spacing w:after="0" w:line="236"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u w:val="single" w:color="auto"/>
            <w:color w:val="0000FF"/>
          </w:rPr>
          <w:t>10.15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u w:val="single" w:color="auto"/>
            <w:color w:val="0000FF"/>
          </w:rPr>
          <w:t>10.16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u w:val="single" w:color="auto"/>
            <w:color w:val="0000FF"/>
          </w:rPr>
          <w:t>10.17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Johnson Outdoors Inc. 2010 Long Term Stock Incentive Plan. (Filed as Appendix A to the Company’s Proxy Statement on Schedule 14A filed with the Securities and Exchange Commission on January 15, 2015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Johnson Outdoors Inc. 2012 Non-Employee Director Stock Ownership Plan. (Filed as Appendix A to the Company’s Proxy Statement on Schedule 14A filed with the Securities and Exchange Commission on January 13, 2017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jc w:val="both"/>
        <w:ind w:right="420"/>
        <w:spacing w:after="0" w:line="237" w:lineRule="auto"/>
        <w:rPr>
          <w:sz w:val="20"/>
          <w:szCs w:val="20"/>
          <w:color w:val="auto"/>
        </w:rPr>
      </w:pPr>
      <w:r>
        <w:rPr>
          <w:rFonts w:ascii="Times New Roman" w:cs="Times New Roman" w:eastAsia="Times New Roman" w:hAnsi="Times New Roman"/>
          <w:sz w:val="18"/>
          <w:szCs w:val="18"/>
          <w:color w:val="auto"/>
        </w:rPr>
        <w:t>Form of Restricted Stock Unit Agreement under Johnson Outdoors Inc. 2012 Non-Employee Director Stock Ownership Plan. (Filed as Exhibit 10.31 to the annual report on Form 10-K dated and filed with the Securities and Exchange Commission on December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Form of Restricted Stock Unit Agreement (Performance Based) under Johnson Outdoors Inc. 2010 Long Term Stock Incentive Plan. (Filed as Exhibit 10.32 to the annual report on Form 10-K dated and filed with the Securities and Exchange Commission on December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Form of Restricted Stock Agreement under Johnson Outdoors Inc. 2012 Non-Employee Director Stock Ownership Plan. (Filed as Exhibit 10.14 to the annual report on Form 10-K dated and filed with the Securities and Exchange Commission on December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0"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Johnson Outdoors Inc. 2020 Long Term Stock Incentive Plan. (Filed as Appendix A to the Company’s Proxy Statement on Schedule 14A filed with the Securities and Exchange Commission on January 10,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Form of Restricted Stock Unit Agreement (Performance Based) under Johnson Outdoors Inc. 2020 Long Term Stock Incentive Plan. (Filed as Exhibit 99.2 to the registration statement on Form S-8 dated and filed with the Securities and Exchange Commission on May 5,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Form of Restricted Stock Agreement under Johnson Outdoors Inc. 2020 Long Term Stock Incentive Plan. (Filed as Exhibit 99.3 to the registration statement on Form S-8 dated and filed with the Securities and Exchange Commission on May 5,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First Amendment dated July 15, 2021 to Amended and Restated Credit Agreement dated as of November 15, 2017 among Johnson Outdoors Inc., certain subsidiaries of Johnson Outdoors Inc., PNC Bank, National Association, as lender and administrative agent, PNC Capital</w:t>
      </w:r>
    </w:p>
    <w:p>
      <w:pPr>
        <w:spacing w:after="0" w:line="1" w:lineRule="exact"/>
        <w:rPr>
          <w:sz w:val="20"/>
          <w:szCs w:val="20"/>
          <w:color w:val="auto"/>
        </w:rPr>
      </w:pPr>
    </w:p>
    <w:p>
      <w:pPr>
        <w:sectPr>
          <w:pgSz w:w="11900" w:h="16838" w:orient="portrait"/>
          <w:cols w:equalWidth="0" w:num="2">
            <w:col w:w="540" w:space="520"/>
            <w:col w:w="1018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160"/>
        </w:trPr>
        <w:tc>
          <w:tcPr>
            <w:tcW w:w="720" w:type="dxa"/>
            <w:vAlign w:val="bottom"/>
            <w:vMerge w:val="restart"/>
          </w:tcPr>
          <w:p>
            <w:pPr>
              <w:jc w:val="right"/>
              <w:ind w:right="210"/>
              <w:spacing w:after="0"/>
              <w:rPr>
                <w:rFonts w:ascii="Times New Roman" w:cs="Times New Roman" w:eastAsia="Times New Roman" w:hAnsi="Times New Roman"/>
                <w:sz w:val="18"/>
                <w:szCs w:val="18"/>
                <w:u w:val="single" w:color="auto"/>
                <w:color w:val="0000FF"/>
                <w:w w:val="98"/>
              </w:rPr>
            </w:pPr>
            <w:hyperlink r:id="rId81">
              <w:r>
                <w:rPr>
                  <w:rFonts w:ascii="Times New Roman" w:cs="Times New Roman" w:eastAsia="Times New Roman" w:hAnsi="Times New Roman"/>
                  <w:sz w:val="18"/>
                  <w:szCs w:val="18"/>
                  <w:u w:val="single" w:color="auto"/>
                  <w:color w:val="0000FF"/>
                  <w:w w:val="98"/>
                </w:rPr>
                <w:t>10.18</w:t>
              </w:r>
            </w:hyperlink>
          </w:p>
        </w:tc>
        <w:tc>
          <w:tcPr>
            <w:tcW w:w="10220" w:type="dxa"/>
            <w:vAlign w:val="bottom"/>
          </w:tcPr>
          <w:p>
            <w:pPr>
              <w:ind w:left="320"/>
              <w:spacing w:after="0" w:line="160" w:lineRule="exact"/>
              <w:rPr>
                <w:sz w:val="20"/>
                <w:szCs w:val="20"/>
                <w:color w:val="auto"/>
              </w:rPr>
            </w:pPr>
            <w:r>
              <w:rPr>
                <w:rFonts w:ascii="Times New Roman" w:cs="Times New Roman" w:eastAsia="Times New Roman" w:hAnsi="Times New Roman"/>
                <w:sz w:val="18"/>
                <w:szCs w:val="18"/>
                <w:color w:val="auto"/>
                <w:w w:val="99"/>
              </w:rPr>
              <w:t>markets LLC, as sole lead arranger and bookrunner, and the other lender named therein (filed as Exhibit 10.1 to the Company's Form 8-K</w:t>
            </w:r>
          </w:p>
        </w:tc>
        <w:tc>
          <w:tcPr>
            <w:tcW w:w="0" w:type="dxa"/>
            <w:vAlign w:val="bottom"/>
          </w:tcPr>
          <w:p>
            <w:pPr>
              <w:spacing w:after="0"/>
              <w:rPr>
                <w:sz w:val="1"/>
                <w:szCs w:val="1"/>
                <w:color w:val="auto"/>
              </w:rPr>
            </w:pPr>
          </w:p>
        </w:tc>
      </w:tr>
      <w:tr>
        <w:trPr>
          <w:trHeight w:val="234"/>
        </w:trPr>
        <w:tc>
          <w:tcPr>
            <w:tcW w:w="720" w:type="dxa"/>
            <w:vAlign w:val="bottom"/>
            <w:vMerge w:val="continue"/>
          </w:tcPr>
          <w:p>
            <w:pPr>
              <w:spacing w:after="0"/>
              <w:rPr>
                <w:sz w:val="20"/>
                <w:szCs w:val="20"/>
                <w:color w:val="auto"/>
              </w:rPr>
            </w:pPr>
          </w:p>
        </w:tc>
        <w:tc>
          <w:tcPr>
            <w:tcW w:w="10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dated and filed with the Securities and Exchange Commission on July 16, 2021 and incorporated herein by reference).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0" w:lineRule="exact"/>
        <w:rPr>
          <w:sz w:val="20"/>
          <w:szCs w:val="20"/>
          <w:color w:val="auto"/>
        </w:rPr>
      </w:pPr>
    </w:p>
    <w:p>
      <w:pPr>
        <w:ind w:left="1060" w:right="360"/>
        <w:spacing w:after="0" w:line="236" w:lineRule="auto"/>
        <w:rPr>
          <w:sz w:val="20"/>
          <w:szCs w:val="20"/>
          <w:color w:val="auto"/>
        </w:rPr>
      </w:pPr>
      <w:r>
        <w:rPr>
          <w:rFonts w:ascii="Times New Roman" w:cs="Times New Roman" w:eastAsia="Times New Roman" w:hAnsi="Times New Roman"/>
          <w:sz w:val="17"/>
          <w:szCs w:val="17"/>
          <w:color w:val="auto"/>
        </w:rPr>
        <w:t>Second Amendment dated January 29, 2025 to Amended and Restated Credit Agreement dated as of November 15, 2017 among the Company, certain of the Company’s subsidiaries named therein, PNC Bank, National Association, as lender and as administrative agent,</w:t>
      </w:r>
    </w:p>
    <w:p>
      <w:pPr>
        <w:ind w:left="1060" w:right="820"/>
        <w:spacing w:after="0" w:line="226" w:lineRule="auto"/>
        <w:rPr>
          <w:sz w:val="20"/>
          <w:szCs w:val="20"/>
          <w:color w:val="auto"/>
        </w:rPr>
      </w:pPr>
      <w:r>
        <w:rPr>
          <w:rFonts w:ascii="Times New Roman" w:cs="Times New Roman" w:eastAsia="Times New Roman" w:hAnsi="Times New Roman"/>
          <w:sz w:val="18"/>
          <w:szCs w:val="18"/>
          <w:color w:val="auto"/>
        </w:rPr>
        <w:t>PNC Capital Markets LLC, as sole lead arranger and bookrunner, and the other lender named therein. (Filed as Exhibit 10.1 to the Company’s Form 10-Q for the quarter ended December 27, 2024 and incorporated herein by reference.)</w:t>
      </w:r>
    </w:p>
    <w:p>
      <w:pPr>
        <w:spacing w:after="0" w:line="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10.19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1060" w:right="80"/>
        <w:spacing w:after="0" w:line="236" w:lineRule="auto"/>
        <w:rPr>
          <w:sz w:val="20"/>
          <w:szCs w:val="20"/>
          <w:color w:val="auto"/>
        </w:rPr>
      </w:pPr>
      <w:r>
        <w:rPr>
          <w:rFonts w:ascii="Times New Roman" w:cs="Times New Roman" w:eastAsia="Times New Roman" w:hAnsi="Times New Roman"/>
          <w:sz w:val="17"/>
          <w:szCs w:val="17"/>
          <w:color w:val="auto"/>
        </w:rPr>
        <w:t>Second Amended and Restated Credit Agreement dated as of December 9, 2025 among Johnson Outdoors Inc., certain subsidiaries of Johnson Outdoors Inc., certain guarantors named therein, PNC Bank, National Association, as lender and administrative agent, PNC Capital</w:t>
      </w:r>
    </w:p>
    <w:p>
      <w:pPr>
        <w:ind w:left="20"/>
        <w:spacing w:after="0"/>
        <w:tabs>
          <w:tab w:leader="none" w:pos="1040" w:val="left"/>
        </w:tabs>
        <w:rPr>
          <w:sz w:val="20"/>
          <w:szCs w:val="20"/>
          <w:color w:val="auto"/>
        </w:rPr>
      </w:pPr>
      <w:r>
        <w:rPr>
          <w:rFonts w:ascii="Times New Roman" w:cs="Times New Roman" w:eastAsia="Times New Roman" w:hAnsi="Times New Roman"/>
          <w:sz w:val="18"/>
          <w:szCs w:val="18"/>
          <w:u w:val="single" w:color="auto"/>
          <w:color w:val="0000FF"/>
        </w:rPr>
        <w:t>10.20</w:t>
      </w:r>
      <w:r>
        <w:rPr>
          <w:sz w:val="20"/>
          <w:szCs w:val="20"/>
          <w:color w:val="auto"/>
        </w:rPr>
        <w:tab/>
      </w:r>
      <w:r>
        <w:rPr>
          <w:rFonts w:ascii="Times New Roman" w:cs="Times New Roman" w:eastAsia="Times New Roman" w:hAnsi="Times New Roman"/>
          <w:sz w:val="18"/>
          <w:szCs w:val="18"/>
          <w:color w:val="auto"/>
        </w:rPr>
        <w:t>markets LLC, as sole lead arranger and bookrunner, and the other lender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3" w:lineRule="exact"/>
        <w:rPr>
          <w:sz w:val="20"/>
          <w:szCs w:val="20"/>
          <w:color w:val="auto"/>
        </w:rPr>
      </w:pPr>
    </w:p>
    <w:p>
      <w:pPr>
        <w:ind w:left="1060" w:hanging="1034"/>
        <w:spacing w:after="0"/>
        <w:tabs>
          <w:tab w:leader="none" w:pos="1060"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Johnson Outdoors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1060" w:hanging="1034"/>
        <w:spacing w:after="0"/>
        <w:tabs>
          <w:tab w:leader="none" w:pos="1060" w:val="left"/>
        </w:tabs>
        <w:numPr>
          <w:ilvl w:val="0"/>
          <w:numId w:val="1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Subsidiaries of the Company as of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ind w:left="1060" w:hanging="1034"/>
        <w:spacing w:after="0"/>
        <w:tabs>
          <w:tab w:leader="none" w:pos="1060" w:val="left"/>
        </w:tabs>
        <w:numPr>
          <w:ilvl w:val="0"/>
          <w:numId w:val="1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or 15d-14(a).</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540" w:type="dxa"/>
            <w:vAlign w:val="bottom"/>
            <w:shd w:val="clear" w:color="auto" w:fill="CCEEFF"/>
          </w:tcPr>
          <w:p>
            <w:pPr>
              <w:spacing w:after="0"/>
              <w:rPr>
                <w:sz w:val="19"/>
                <w:szCs w:val="19"/>
                <w:color w:val="auto"/>
              </w:rPr>
            </w:pPr>
          </w:p>
        </w:tc>
      </w:tr>
      <w:tr>
        <w:trPr>
          <w:trHeight w:val="189"/>
        </w:trPr>
        <w:tc>
          <w:tcPr>
            <w:tcW w:w="7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54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 or 15d-14(a).</w:t>
            </w: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540" w:type="dxa"/>
            <w:vAlign w:val="bottom"/>
            <w:shd w:val="clear" w:color="auto" w:fill="CCEEFF"/>
          </w:tcPr>
          <w:p>
            <w:pPr>
              <w:spacing w:after="0"/>
              <w:rPr>
                <w:sz w:val="19"/>
                <w:szCs w:val="19"/>
                <w:color w:val="auto"/>
              </w:rPr>
            </w:pPr>
          </w:p>
        </w:tc>
      </w:tr>
      <w:tr>
        <w:trPr>
          <w:trHeight w:val="189"/>
        </w:trPr>
        <w:tc>
          <w:tcPr>
            <w:tcW w:w="7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54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 xml:space="preserve">Certifications of Chief Executive Officer and Chief Financial Officer pursuant to 18 U.S.C. Section 1350. </w:t>
            </w:r>
            <w:r>
              <w:rPr>
                <w:rFonts w:ascii="Times New Roman" w:cs="Times New Roman" w:eastAsia="Times New Roman" w:hAnsi="Times New Roman"/>
                <w:sz w:val="21"/>
                <w:szCs w:val="21"/>
                <w:color w:val="auto"/>
                <w:vertAlign w:val="superscript"/>
              </w:rPr>
              <w:t>(1)</w:t>
            </w: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540" w:type="dxa"/>
            <w:vAlign w:val="bottom"/>
            <w:shd w:val="clear" w:color="auto" w:fill="CCEEFF"/>
          </w:tcPr>
          <w:p>
            <w:pPr>
              <w:spacing w:after="0"/>
              <w:rPr>
                <w:sz w:val="23"/>
                <w:szCs w:val="23"/>
                <w:color w:val="auto"/>
              </w:rPr>
            </w:pPr>
          </w:p>
        </w:tc>
      </w:tr>
      <w:tr>
        <w:trPr>
          <w:trHeight w:val="229"/>
        </w:trPr>
        <w:tc>
          <w:tcPr>
            <w:tcW w:w="3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w w:val="96"/>
              </w:rPr>
              <w:t xml:space="preserve">97 </w:t>
            </w:r>
            <w:r>
              <w:rPr>
                <w:rFonts w:ascii="Times New Roman" w:cs="Times New Roman" w:eastAsia="Times New Roman" w:hAnsi="Times New Roman"/>
                <w:sz w:val="23"/>
                <w:szCs w:val="23"/>
                <w:color w:val="auto"/>
                <w:w w:val="96"/>
                <w:vertAlign w:val="superscript"/>
              </w:rPr>
              <w:t>+</w:t>
            </w:r>
          </w:p>
        </w:tc>
        <w:tc>
          <w:tcPr>
            <w:tcW w:w="360" w:type="dxa"/>
            <w:vAlign w:val="bottom"/>
          </w:tcPr>
          <w:p>
            <w:pPr>
              <w:spacing w:after="0"/>
              <w:rPr>
                <w:sz w:val="19"/>
                <w:szCs w:val="19"/>
                <w:color w:val="auto"/>
              </w:rPr>
            </w:pPr>
          </w:p>
        </w:tc>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Johnson Outdoors Inc. Incentive Compensation Recovery Policy, as amended and restated effective as of June 1, 2023.</w:t>
            </w: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540" w:type="dxa"/>
            <w:vAlign w:val="bottom"/>
            <w:shd w:val="clear" w:color="auto" w:fill="CCEEFF"/>
          </w:tcPr>
          <w:p>
            <w:pPr>
              <w:spacing w:after="0"/>
              <w:rPr>
                <w:sz w:val="23"/>
                <w:szCs w:val="23"/>
                <w:color w:val="auto"/>
              </w:rPr>
            </w:pPr>
          </w:p>
        </w:tc>
      </w:tr>
    </w:tbl>
    <w:p>
      <w:pPr>
        <w:ind w:left="1060" w:right="160" w:hanging="1034"/>
        <w:spacing w:after="0" w:line="219"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Johnson Outdoors Inc.’s Annual Report on Form 10-K for the fiscal year ended October 3, 2025 formatted in XBRL (eXtensible Business Reporting Language) and furnished electronically herewith: (i) Consolidated Statements of Operations; (ii) Consolidated Statements of Comprehensive Income (Loss), (iii) Consolidated Balance Sheets; (iv) Consolidated Statements of Shareholders’ Equity; (v) Consolidated Statements of Cash Flows; and (vi) Notes to Consolidated Financial Statements. XBRL Instance Document - the XBRL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ind w:left="1060" w:right="220" w:hanging="1034"/>
        <w:spacing w:after="0" w:line="237" w:lineRule="auto"/>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October 3, 2025 has been formatted in Inline XBRL (included in Exhibit 101).</w:t>
      </w:r>
    </w:p>
    <w:p>
      <w:pPr>
        <w:spacing w:after="0" w:line="303"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management contract or compensatory plan or arrangement.</w:t>
      </w:r>
    </w:p>
    <w:p>
      <w:pPr>
        <w:spacing w:after="0" w:line="225" w:lineRule="exact"/>
        <w:rPr>
          <w:sz w:val="20"/>
          <w:szCs w:val="20"/>
          <w:color w:val="auto"/>
        </w:rPr>
      </w:pPr>
    </w:p>
    <w:p>
      <w:pPr>
        <w:ind w:left="660" w:right="180" w:hanging="652"/>
        <w:spacing w:after="0" w:line="282"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910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r>
      <w:tr>
        <w:trPr>
          <w:trHeight w:val="588"/>
        </w:trPr>
        <w:tc>
          <w:tcPr>
            <w:tcW w:w="103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860" w:type="dxa"/>
            <w:vAlign w:val="bottom"/>
          </w:tcPr>
          <w:p>
            <w:pPr>
              <w:spacing w:after="0"/>
              <w:rPr>
                <w:sz w:val="24"/>
                <w:szCs w:val="24"/>
                <w:color w:val="auto"/>
              </w:rPr>
            </w:pPr>
          </w:p>
        </w:tc>
      </w:tr>
      <w:tr>
        <w:trPr>
          <w:trHeight w:val="5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4"/>
          </w:tcPr>
          <w:p>
            <w:pPr>
              <w:ind w:left="100"/>
              <w:spacing w:after="0"/>
              <w:rPr>
                <w:sz w:val="20"/>
                <w:szCs w:val="20"/>
                <w:color w:val="auto"/>
              </w:rPr>
            </w:pPr>
            <w:r>
              <w:rPr>
                <w:rFonts w:ascii="Times New Roman" w:cs="Times New Roman" w:eastAsia="Times New Roman" w:hAnsi="Times New Roman"/>
                <w:sz w:val="18"/>
                <w:szCs w:val="18"/>
                <w:i w:val="1"/>
                <w:iCs w:val="1"/>
                <w:color w:val="auto"/>
              </w:rPr>
              <w:t>Table of Contents</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230"/>
        </w:trPr>
        <w:tc>
          <w:tcPr>
            <w:tcW w:w="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F-2</w:t>
            </w:r>
          </w:p>
        </w:tc>
      </w:tr>
      <w:tr>
        <w:trPr>
          <w:trHeight w:val="230"/>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640" w:type="dxa"/>
            <w:vAlign w:val="bottom"/>
            <w:tcBorders>
              <w:top w:val="single" w:sz="8" w:color="0000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ID:49)</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F-4</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F-6</w:t>
            </w:r>
          </w:p>
        </w:tc>
      </w:tr>
      <w:tr>
        <w:trPr>
          <w:trHeight w:val="230"/>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F-7</w:t>
            </w:r>
          </w:p>
        </w:tc>
      </w:tr>
      <w:tr>
        <w:trPr>
          <w:trHeight w:val="230"/>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F-8</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F-9</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F-10</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F-11</w:t>
            </w:r>
          </w:p>
        </w:tc>
      </w:tr>
      <w:tr>
        <w:trPr>
          <w:trHeight w:val="763"/>
        </w:trPr>
        <w:tc>
          <w:tcPr>
            <w:tcW w:w="2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2640" w:type="dxa"/>
            <w:vAlign w:val="bottom"/>
            <w:tcBorders>
              <w:top w:val="single" w:sz="8" w:color="CCEEFF"/>
              <w:bottom w:val="single" w:sz="8" w:color="9A9A9A"/>
            </w:tcBorders>
          </w:tcPr>
          <w:p>
            <w:pPr>
              <w:spacing w:after="0"/>
              <w:rPr>
                <w:sz w:val="24"/>
                <w:szCs w:val="24"/>
                <w:color w:val="auto"/>
              </w:rPr>
            </w:pPr>
          </w:p>
        </w:tc>
        <w:tc>
          <w:tcPr>
            <w:tcW w:w="24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management of Johnson Outdoors Inc. is responsible for establishing and maintaining adequate internal control over financial reporting, as such term is defined in Rule 13a-15(f) of the Securities Exchange Act of 1934. The Company’s internal control over financial reporting is designed to provide reasonable assurance to the Company’s management and board of directors regarding the preparation and fair presentation of published financial statements. The Company’s internal control over financial reporting includes those policies and procedures that:</w:t>
      </w:r>
    </w:p>
    <w:p>
      <w:pPr>
        <w:spacing w:after="0" w:line="207" w:lineRule="exact"/>
        <w:rPr>
          <w:sz w:val="20"/>
          <w:szCs w:val="20"/>
          <w:color w:val="auto"/>
        </w:rPr>
      </w:pPr>
    </w:p>
    <w:p>
      <w:pPr>
        <w:ind w:left="660" w:right="280" w:hanging="652"/>
        <w:spacing w:after="0" w:line="282"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88"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202"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October 3, 2025. In making this assessment, management used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2013. Based on our assessment, management believes that, as of October 3, 2025, the Company’s internal control over financial reporting was effective based on those criteria.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Helen P. Johnson-Leipold</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W. Johnson</w:t>
            </w:r>
          </w:p>
        </w:tc>
      </w:tr>
      <w:tr>
        <w:trPr>
          <w:trHeight w:val="234"/>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420" w:type="dxa"/>
            <w:vAlign w:val="bottom"/>
          </w:tcPr>
          <w:p>
            <w:pPr>
              <w:spacing w:after="0"/>
              <w:rPr>
                <w:sz w:val="20"/>
                <w:szCs w:val="20"/>
                <w:color w:val="auto"/>
              </w:rPr>
            </w:pPr>
          </w:p>
        </w:tc>
        <w:tc>
          <w:tcPr>
            <w:tcW w:w="4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bl>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Outdoors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Johnson Outdoors Inc.'s (the Company) internal control over financial reporting as of October 3, 2025,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issued by the Committee of Sponsoring Organizations of the Treadway Commission in 2013. In our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maintained, in all material respects, effective internal control over financial reporting as of October 3, 2025,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of the Company and our report dated December 12, 2025 expressed an unqualified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 the accompanying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Outdoors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Johnson Outdoors Inc. and its subsidiaries (the Company) as of October 3, 2025 and September 27, 2024, the related consolidated statements of operations, comprehensive income (loss), shareholders' equity and cash flows for each of the three years in the period ended October 3, 2025, and the related notes to the consolidated financial statements (collectively, the financial statements). In our opinion, the financial statements present fairly, in all material respects, the financial position of the Company as of October 3, 2025 and September 27, 2024, and the results of its operations and its cash flows for each of the three years in the period ended October 3, 2025, in conformity with accounting principles generally accepted in the United States of America.</w:t>
      </w:r>
    </w:p>
    <w:p>
      <w:pPr>
        <w:spacing w:after="0" w:line="2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October 3,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December 12, 2025 expressed an unqualified opinion on the effectiveness of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Obsolete and Excess Inventory Reserve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within Notes 1 and 15 to the consolidated financial statements, the consolidated gross inventory balance as of October 3, 2025 was</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$192,453,000, and $21,727,000 in reserves, for a consolidated net inventory balance of $170,726,000, of which a significant portion relates to the Fishing segment. The Company values inventory at the lower of cost (determined using the first-in, first-out method) or net realizable value. Management develops assumptions when estimating the inventory reserves based on expected future demand, market conditions, and industry conditions.</w:t>
      </w:r>
    </w:p>
    <w:p>
      <w:pPr>
        <w:spacing w:after="0" w:line="213"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identified the value of the obsolete and excess inventory related to the Fishing segment as a critical audit matter as there was a high degree of auditor judgment and increased audit effort when performing audit procedures given the subjective nature of the significant assumptions utilized by management.</w:t>
      </w:r>
    </w:p>
    <w:p>
      <w:pPr>
        <w:spacing w:after="0" w:line="16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evaluation of the obsolete and excess inventory reserve for the Fishing segment include the following primary procedures, among others:</w:t>
      </w:r>
    </w:p>
    <w:p>
      <w:pPr>
        <w:spacing w:after="0" w:line="189" w:lineRule="exact"/>
        <w:rPr>
          <w:sz w:val="20"/>
          <w:szCs w:val="20"/>
          <w:color w:val="auto"/>
        </w:rPr>
      </w:pPr>
    </w:p>
    <w:p>
      <w:pPr>
        <w:ind w:left="660" w:right="6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controls related to the obsolete and excess inventory and tested such controls for design and operating effectiveness.</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left="660" w:right="1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of the inventory population subject to the obsolete and excess reserve, and in addition,we recalculated the reserve and confirmed that calculation conformed to the Company policy for inventory reserves.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of current year activity compared to prior year estimates to evaluate management's estimation accuracy.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significant assumptions related to predicted or internally developed forecasted product demand.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Company's goodwill balance was $10,456,000 at October 3, 2025, and is recorded in the Diving reporting unit.. Goodwill is tested for impairment at least annually, at the reporting unit level, by comparing the estimated fair value of the reporting unit to its carrying value. The Company uses a discounted cash flow model, which is considered an income valuation approach, to estimate the fair value of the Diving reporting unit. When the carrying value of the reporting unit exceeds its fair value, an impairment charge is recorded for the amount that the reporting unit’s carrying value exceeds its fair value, not to exceed the carrying value of the goodwill.</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identified the Company's annual goodwill impairment test for the Diving reporting unit as a critical audit matter due to the significant assumptions made by management to estimate the fair value of the reporting unit, including revenue growth rates, profit margins and the discount rate. Auditing management’s assumptions required a high degree of auditor judgment and an increase in audit effort, including the use of our valuation specialists, due to the impact these assumptions could have on the accounting estimate.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estimate of fair value of the Diving reporting unit included the following, among others:</w:t>
      </w:r>
    </w:p>
    <w:p>
      <w:pPr>
        <w:spacing w:after="0" w:line="252" w:lineRule="exact"/>
        <w:rPr>
          <w:sz w:val="20"/>
          <w:szCs w:val="20"/>
          <w:color w:val="auto"/>
        </w:rPr>
      </w:pPr>
    </w:p>
    <w:p>
      <w:pPr>
        <w:ind w:left="660" w:right="1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management’s controls relating to estimating the fair value of the Diving reporting unit and tested such controls for design and operating effectiveness.</w:t>
      </w:r>
    </w:p>
    <w:p>
      <w:pPr>
        <w:spacing w:after="0" w:line="188"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valuation specialists to test the reasonableness of the discount rate by comparing the inputs used by management to publicly available market data.</w:t>
      </w:r>
    </w:p>
    <w:p>
      <w:pPr>
        <w:spacing w:after="0" w:line="18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estimate of the Diving reporting unit's fair value using a combination of historical results achieved by the Diving reporting unit and publicly available market data for the Diving reporting unit's industry and compared our independent estimate to management's estimate of fair value.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used by management for completeness and accuracy by comparing it to source information.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discounted cash flow model.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Year Ended</w:t>
            </w: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per share data)</w:t>
            </w:r>
          </w:p>
        </w:tc>
        <w:tc>
          <w:tcPr>
            <w:tcW w:w="1280" w:type="dxa"/>
            <w:vAlign w:val="bottom"/>
          </w:tcPr>
          <w:p>
            <w:pPr>
              <w:spacing w:after="0"/>
              <w:rPr>
                <w:sz w:val="15"/>
                <w:szCs w:val="15"/>
                <w:color w:val="auto"/>
              </w:rPr>
            </w:pPr>
          </w:p>
        </w:tc>
        <w:tc>
          <w:tcPr>
            <w:tcW w:w="1260" w:type="dxa"/>
            <w:vAlign w:val="bottom"/>
          </w:tcPr>
          <w:p>
            <w:pPr>
              <w:jc w:val="right"/>
              <w:ind w:right="330"/>
              <w:spacing w:after="0" w:line="181" w:lineRule="exact"/>
              <w:rPr>
                <w:sz w:val="20"/>
                <w:szCs w:val="20"/>
                <w:color w:val="auto"/>
              </w:rPr>
            </w:pPr>
            <w:r>
              <w:rPr>
                <w:rFonts w:ascii="Times New Roman" w:cs="Times New Roman" w:eastAsia="Times New Roman" w:hAnsi="Times New Roman"/>
                <w:sz w:val="18"/>
                <w:szCs w:val="18"/>
                <w:color w:val="auto"/>
              </w:rPr>
              <w:t>October 3</w:t>
            </w:r>
          </w:p>
        </w:tc>
        <w:tc>
          <w:tcPr>
            <w:tcW w:w="220" w:type="dxa"/>
            <w:vAlign w:val="bottom"/>
          </w:tcPr>
          <w:p>
            <w:pPr>
              <w:spacing w:after="0"/>
              <w:rPr>
                <w:sz w:val="15"/>
                <w:szCs w:val="15"/>
                <w:color w:val="auto"/>
              </w:rPr>
            </w:pPr>
          </w:p>
        </w:tc>
        <w:tc>
          <w:tcPr>
            <w:tcW w:w="132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September 27</w:t>
            </w:r>
          </w:p>
        </w:tc>
        <w:tc>
          <w:tcPr>
            <w:tcW w:w="220" w:type="dxa"/>
            <w:vAlign w:val="bottom"/>
          </w:tcPr>
          <w:p>
            <w:pPr>
              <w:spacing w:after="0"/>
              <w:rPr>
                <w:sz w:val="15"/>
                <w:szCs w:val="15"/>
                <w:color w:val="auto"/>
              </w:rPr>
            </w:pPr>
          </w:p>
        </w:tc>
        <w:tc>
          <w:tcPr>
            <w:tcW w:w="1260" w:type="dxa"/>
            <w:vAlign w:val="bottom"/>
          </w:tcPr>
          <w:p>
            <w:pPr>
              <w:jc w:val="right"/>
              <w:ind w:right="130"/>
              <w:spacing w:after="0" w:line="181" w:lineRule="exact"/>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592,415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592,846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663,844</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384,322</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391,866</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419,757</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208,093</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200,980</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244,087</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134,455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144,564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management, finance and information systems</w:t>
            </w:r>
          </w:p>
        </w:tc>
        <w:tc>
          <w:tcPr>
            <w:tcW w:w="12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57,627</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57,643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56,497</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11,173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32,202</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31,122</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31,404</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224,284</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244,502</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232,347</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profit</w:t>
            </w:r>
          </w:p>
        </w:tc>
        <w:tc>
          <w:tcPr>
            <w:tcW w:w="1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profit before income taxes</w:t>
            </w:r>
          </w:p>
        </w:tc>
        <w:tc>
          <w:tcPr>
            <w:tcW w:w="1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25,824</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25,015</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0" w:type="dxa"/>
            <w:vAlign w:val="bottom"/>
          </w:tcPr>
          <w:p>
            <w:pPr>
              <w:spacing w:after="0"/>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9,056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9,013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stock options and restricted stock units</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1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10,264</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10,221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 Basic:</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 Diluted:</w:t>
            </w: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55"/>
        </w:trPr>
        <w:tc>
          <w:tcPr>
            <w:tcW w:w="5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Year Ended</w:t>
            </w: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per share data)</w:t>
            </w:r>
          </w:p>
        </w:tc>
        <w:tc>
          <w:tcPr>
            <w:tcW w:w="220" w:type="dxa"/>
            <w:vAlign w:val="bottom"/>
          </w:tcPr>
          <w:p>
            <w:pPr>
              <w:spacing w:after="0"/>
              <w:rPr>
                <w:sz w:val="15"/>
                <w:szCs w:val="15"/>
                <w:color w:val="auto"/>
              </w:rPr>
            </w:pPr>
          </w:p>
        </w:tc>
        <w:tc>
          <w:tcPr>
            <w:tcW w:w="1260" w:type="dxa"/>
            <w:vAlign w:val="bottom"/>
          </w:tcPr>
          <w:p>
            <w:pPr>
              <w:jc w:val="right"/>
              <w:ind w:right="330"/>
              <w:spacing w:after="0" w:line="181" w:lineRule="exact"/>
              <w:rPr>
                <w:sz w:val="20"/>
                <w:szCs w:val="20"/>
                <w:color w:val="auto"/>
              </w:rPr>
            </w:pPr>
            <w:r>
              <w:rPr>
                <w:rFonts w:ascii="Times New Roman" w:cs="Times New Roman" w:eastAsia="Times New Roman" w:hAnsi="Times New Roman"/>
                <w:sz w:val="18"/>
                <w:szCs w:val="18"/>
                <w:color w:val="auto"/>
              </w:rPr>
              <w:t>October 3</w:t>
            </w:r>
          </w:p>
        </w:tc>
        <w:tc>
          <w:tcPr>
            <w:tcW w:w="220" w:type="dxa"/>
            <w:vAlign w:val="bottom"/>
          </w:tcPr>
          <w:p>
            <w:pPr>
              <w:spacing w:after="0"/>
              <w:rPr>
                <w:sz w:val="15"/>
                <w:szCs w:val="15"/>
                <w:color w:val="auto"/>
              </w:rPr>
            </w:pPr>
          </w:p>
        </w:tc>
        <w:tc>
          <w:tcPr>
            <w:tcW w:w="132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September 27</w:t>
            </w:r>
          </w:p>
        </w:tc>
        <w:tc>
          <w:tcPr>
            <w:tcW w:w="220" w:type="dxa"/>
            <w:vAlign w:val="bottom"/>
          </w:tcPr>
          <w:p>
            <w:pPr>
              <w:spacing w:after="0"/>
              <w:rPr>
                <w:sz w:val="15"/>
                <w:szCs w:val="15"/>
                <w:color w:val="auto"/>
              </w:rPr>
            </w:pPr>
          </w:p>
        </w:tc>
        <w:tc>
          <w:tcPr>
            <w:tcW w:w="1260" w:type="dxa"/>
            <w:vAlign w:val="bottom"/>
          </w:tcPr>
          <w:p>
            <w:pPr>
              <w:jc w:val="right"/>
              <w:ind w:right="130"/>
              <w:spacing w:after="0" w:line="181" w:lineRule="exact"/>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gain on available-for-sale securities, net of tax</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 in pension plans, net of tax</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2,641</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22,237</w:t>
            </w:r>
          </w:p>
        </w:tc>
        <w:tc>
          <w:tcPr>
            <w:tcW w:w="0" w:type="dxa"/>
            <w:vAlign w:val="bottom"/>
          </w:tcPr>
          <w:p>
            <w:pPr>
              <w:spacing w:after="0"/>
              <w:rPr>
                <w:sz w:val="1"/>
                <w:szCs w:val="1"/>
                <w:color w:val="auto"/>
              </w:rPr>
            </w:pP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share data)</w:t>
            </w:r>
          </w:p>
        </w:tc>
        <w:tc>
          <w:tcPr>
            <w:tcW w:w="6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October 3</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176,399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145,498</w:t>
            </w:r>
          </w:p>
        </w:tc>
        <w:tc>
          <w:tcPr>
            <w:tcW w:w="0" w:type="dxa"/>
            <w:vAlign w:val="bottom"/>
          </w:tcPr>
          <w:p>
            <w:pPr>
              <w:spacing w:after="0"/>
              <w:rPr>
                <w:sz w:val="1"/>
                <w:szCs w:val="1"/>
                <w:color w:val="auto"/>
              </w:rPr>
            </w:pP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16,541</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50,454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40,649</w:t>
            </w:r>
          </w:p>
        </w:tc>
        <w:tc>
          <w:tcPr>
            <w:tcW w:w="0" w:type="dxa"/>
            <w:vAlign w:val="bottom"/>
          </w:tcPr>
          <w:p>
            <w:pPr>
              <w:spacing w:after="0"/>
              <w:rPr>
                <w:sz w:val="1"/>
                <w:szCs w:val="1"/>
                <w:color w:val="auto"/>
              </w:rPr>
            </w:pP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170,726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209,788</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6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11,209</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0" w:type="dxa"/>
            <w:vAlign w:val="bottom"/>
          </w:tcPr>
          <w:p>
            <w:pPr>
              <w:spacing w:after="0"/>
              <w:rPr>
                <w:sz w:val="1"/>
                <w:szCs w:val="1"/>
                <w:color w:val="auto"/>
              </w:rPr>
            </w:pPr>
          </w:p>
        </w:tc>
      </w:tr>
      <w:tr>
        <w:trPr>
          <w:trHeight w:val="229"/>
        </w:trPr>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408,788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428,728</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$210,262 and $192,890, respectively</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93,744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96,922</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46,570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10,456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9,529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30,681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29,092</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604,103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635,212</w:t>
            </w:r>
          </w:p>
        </w:tc>
        <w:tc>
          <w:tcPr>
            <w:tcW w:w="0" w:type="dxa"/>
            <w:vAlign w:val="bottom"/>
          </w:tcPr>
          <w:p>
            <w:pPr>
              <w:spacing w:after="0"/>
              <w:rPr>
                <w:sz w:val="1"/>
                <w:szCs w:val="1"/>
                <w:color w:val="auto"/>
              </w:rPr>
            </w:pPr>
          </w:p>
        </w:tc>
      </w:tr>
      <w:tr>
        <w:trPr>
          <w:trHeight w:val="20"/>
        </w:trPr>
        <w:tc>
          <w:tcPr>
            <w:tcW w:w="7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40,085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0" w:type="dxa"/>
            <w:vAlign w:val="bottom"/>
          </w:tcPr>
          <w:p>
            <w:pPr>
              <w:spacing w:after="0"/>
              <w:rPr>
                <w:sz w:val="1"/>
                <w:szCs w:val="1"/>
                <w:color w:val="auto"/>
              </w:rPr>
            </w:pP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liability</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8,260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20,649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warranty</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12,149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discounts and returns</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7,063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customer programs</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4,373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10,304</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0" w:type="dxa"/>
            <w:vAlign w:val="bottom"/>
          </w:tcPr>
          <w:p>
            <w:pPr>
              <w:spacing w:after="0"/>
              <w:rPr>
                <w:sz w:val="1"/>
                <w:szCs w:val="1"/>
                <w:color w:val="auto"/>
              </w:rPr>
            </w:pPr>
          </w:p>
        </w:tc>
      </w:tr>
      <w:tr>
        <w:trPr>
          <w:trHeight w:val="230"/>
        </w:trPr>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104,640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90,444</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40,424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41,806</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30,681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29,092</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6,172</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6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185,684</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171,788</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none issued</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shares issued and outstanding: 9,166,621 and 9,093,978, respectively</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shares issued and outstanding: 1,206,210 and 1,207,760, respectively</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91,867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90,146</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321,768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369,592</w:t>
            </w: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7,289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shares of Class A common stock: 48,259 and 42,654, respectively</w:t>
            </w:r>
          </w:p>
        </w:tc>
        <w:tc>
          <w:tcPr>
            <w:tcW w:w="6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418,419</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463,424</w:t>
            </w:r>
          </w:p>
        </w:tc>
        <w:tc>
          <w:tcPr>
            <w:tcW w:w="0" w:type="dxa"/>
            <w:vAlign w:val="bottom"/>
          </w:tcPr>
          <w:p>
            <w:pPr>
              <w:spacing w:after="0"/>
              <w:rPr>
                <w:sz w:val="1"/>
                <w:szCs w:val="1"/>
                <w:color w:val="auto"/>
              </w:rPr>
            </w:pPr>
          </w:p>
        </w:tc>
      </w:tr>
      <w:tr>
        <w:trPr>
          <w:trHeight w:val="255"/>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604,103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635,212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Capital in</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Accumulated</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Retained</w:t>
            </w:r>
          </w:p>
        </w:tc>
        <w:tc>
          <w:tcPr>
            <w:tcW w:w="20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260" w:type="dxa"/>
            <w:vAlign w:val="bottom"/>
          </w:tcPr>
          <w:p>
            <w:pPr>
              <w:spacing w:after="0"/>
              <w:rPr>
                <w:sz w:val="14"/>
                <w:szCs w:val="14"/>
                <w:color w:val="auto"/>
              </w:rPr>
            </w:pPr>
          </w:p>
        </w:tc>
        <w:tc>
          <w:tcPr>
            <w:tcW w:w="9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Treasury</w:t>
            </w:r>
          </w:p>
        </w:tc>
        <w:tc>
          <w:tcPr>
            <w:tcW w:w="0" w:type="dxa"/>
            <w:vAlign w:val="bottom"/>
          </w:tcPr>
          <w:p>
            <w:pPr>
              <w:spacing w:after="0"/>
              <w:rPr>
                <w:sz w:val="1"/>
                <w:szCs w:val="1"/>
                <w:color w:val="auto"/>
              </w:rPr>
            </w:pPr>
          </w:p>
        </w:tc>
      </w:tr>
      <w:tr>
        <w:trPr>
          <w:trHeight w:val="162"/>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(thousands except for shares)</w:t>
            </w:r>
          </w:p>
        </w:tc>
        <w:tc>
          <w:tcPr>
            <w:tcW w:w="11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Shares</w:t>
            </w:r>
          </w:p>
        </w:tc>
        <w:tc>
          <w:tcPr>
            <w:tcW w:w="12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Pr>
          <w:p>
            <w:pPr>
              <w:spacing w:after="0"/>
              <w:rPr>
                <w:sz w:val="14"/>
                <w:szCs w:val="14"/>
                <w:color w:val="auto"/>
              </w:rPr>
            </w:pPr>
          </w:p>
        </w:tc>
        <w:tc>
          <w:tcPr>
            <w:tcW w:w="10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Excess of Par</w:t>
            </w: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4"/>
              </w:rPr>
              <w:t>Value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Earnings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Income (Loss)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Stock</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10,192,051</w:t>
            </w:r>
          </w:p>
        </w:tc>
        <w:tc>
          <w:tcPr>
            <w:tcW w:w="5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87,351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402,821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19,534</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under employee stock purchase plan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5,401</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71,742</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2,446</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 to A conversion</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2,790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11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11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stock forfeitures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Purchase of treasury stock at cost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29, 2023</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10,250,949</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514</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88,234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409,574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3,323</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(26,533)</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under employee stock purchase plan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4,937</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63,164</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1,292</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11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stock forfeitures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2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stock at cost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27, 2024</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10,301,738</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517</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90,146</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369,592</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5,964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(13,530)</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stock under employee stock purchase plan</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6,203</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72,045</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 to A conversion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11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stock forfeitures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2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stock at cost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OCTOBER 3, 2025</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10,372,831</w:t>
            </w:r>
          </w:p>
        </w:tc>
        <w:tc>
          <w:tcPr>
            <w:tcW w:w="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91,867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321,768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7,289</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0" w:type="dxa"/>
            <w:vAlign w:val="bottom"/>
          </w:tcPr>
          <w:p>
            <w:pPr>
              <w:spacing w:after="0"/>
              <w:rPr>
                <w:sz w:val="1"/>
                <w:szCs w:val="1"/>
                <w:color w:val="auto"/>
              </w:rPr>
            </w:pPr>
          </w:p>
        </w:tc>
      </w:tr>
      <w:tr>
        <w:trPr>
          <w:trHeight w:val="23"/>
        </w:trPr>
        <w:tc>
          <w:tcPr>
            <w:tcW w:w="3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4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Year Ended</w:t>
            </w: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220" w:type="dxa"/>
            <w:vAlign w:val="bottom"/>
          </w:tcPr>
          <w:p>
            <w:pPr>
              <w:spacing w:after="0"/>
              <w:rPr>
                <w:sz w:val="15"/>
                <w:szCs w:val="15"/>
                <w:color w:val="auto"/>
              </w:rPr>
            </w:pPr>
          </w:p>
        </w:tc>
        <w:tc>
          <w:tcPr>
            <w:tcW w:w="126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October 3</w:t>
            </w:r>
          </w:p>
        </w:tc>
        <w:tc>
          <w:tcPr>
            <w:tcW w:w="220" w:type="dxa"/>
            <w:vAlign w:val="bottom"/>
          </w:tcPr>
          <w:p>
            <w:pPr>
              <w:spacing w:after="0"/>
              <w:rPr>
                <w:sz w:val="15"/>
                <w:szCs w:val="15"/>
                <w:color w:val="auto"/>
              </w:rPr>
            </w:pPr>
          </w:p>
        </w:tc>
        <w:tc>
          <w:tcPr>
            <w:tcW w:w="13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September 27</w:t>
            </w:r>
          </w:p>
        </w:tc>
        <w:tc>
          <w:tcPr>
            <w:tcW w:w="220" w:type="dxa"/>
            <w:vAlign w:val="bottom"/>
          </w:tcPr>
          <w:p>
            <w:pPr>
              <w:spacing w:after="0"/>
              <w:rPr>
                <w:sz w:val="15"/>
                <w:szCs w:val="15"/>
                <w:color w:val="auto"/>
              </w:rPr>
            </w:pPr>
          </w:p>
        </w:tc>
        <w:tc>
          <w:tcPr>
            <w:tcW w:w="126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20,044</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19,269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sale of productive assets</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11,173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1,495</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2,914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10,985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20,603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48,292</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40,897</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42,110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11,074</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5,093</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56,206</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40,984</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INVESTING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purchase of business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16,316</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27,025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of productive assets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2,245</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5,034</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paid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transactions</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rate changes on cash</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30,901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33,644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145,498</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111,854</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176,399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145,498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111,854</w:t>
            </w:r>
          </w:p>
        </w:tc>
        <w:tc>
          <w:tcPr>
            <w:tcW w:w="0" w:type="dxa"/>
            <w:vAlign w:val="bottom"/>
          </w:tcPr>
          <w:p>
            <w:pPr>
              <w:spacing w:after="0"/>
              <w:rPr>
                <w:sz w:val="1"/>
                <w:szCs w:val="1"/>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treasury activity</w:t>
            </w: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paid for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3,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5" w:lineRule="exact"/>
        <w:rPr>
          <w:sz w:val="20"/>
          <w:szCs w:val="20"/>
          <w:color w:val="auto"/>
        </w:rPr>
      </w:pPr>
    </w:p>
    <w:p>
      <w:pPr>
        <w:ind w:right="6260" w:firstLine="8"/>
        <w:spacing w:after="0" w:line="534" w:lineRule="auto"/>
        <w:tabs>
          <w:tab w:leader="none" w:pos="27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Business</w:t>
      </w:r>
    </w:p>
    <w:p>
      <w:pPr>
        <w:spacing w:after="0" w:line="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Johnson Outdoors Inc. (the “Company”) is an integrated, global outdoor recreation products company engaged in the innovative design, manufacture and marketing of brand name camping, diving, watercraft and marine electronics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Johnson Outdoors Inc. and all majority owned subsidiaries and are stated in conformity with U.S. generally accepted accounting principles. Intercompany accounts and transactions have been eliminated upon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impact the reported amounts of assets, liabilities and operating results and the disclosure of commitments and contingent liabilities. Actual results could differ significantly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Friday nearest September 30. The fiscal year ended October 3, 2025 (hereinafter 2025) comprised 53 weeks and the fiscal years ended September 27, 2024 (hereinafter 2024) and September 29, 2023 (hereinafter 2023) each comprised 52 weeks.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Marketable Securities</w:t>
      </w:r>
    </w:p>
    <w:p>
      <w:pPr>
        <w:spacing w:after="0" w:line="2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in interest bearing accounts and all securities and other instruments with an original maturity of three months or less to be cash equivalents. Cash equivalents are stated at cost which approximates market value.</w:t>
      </w:r>
    </w:p>
    <w:p>
      <w:pPr>
        <w:spacing w:after="0" w:line="18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Company maintains cash in bank accounts in excess of insured limits. The Company has not experienced any losses and does not believe that significant credit risk exists as a result of this practice.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2025, the Company held approximately $69,015 of cash and cash equivalents in bank accounts in foreign jurisdictions.</w:t>
      </w:r>
    </w:p>
    <w:p>
      <w:pPr>
        <w:spacing w:after="0" w:line="16"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8"/>
          <w:szCs w:val="18"/>
          <w:color w:val="auto"/>
        </w:rPr>
        <w:t>The Company has classified all marketable securities as available-for-sale which requires the securities to be reported at estimated fair value, with unrealized gains and losses, net of tax, reported as a separate component of accumulated other comprehensive income in the accompanying Consolidated Statements of Shareholders' Equity. Amortization of premium or discount is reported as Interest income in the accompanying Consolidated Statements of Operations.</w:t>
      </w:r>
    </w:p>
    <w:p>
      <w:pPr>
        <w:spacing w:after="0" w:line="21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Cost for marketable securities is determined using the specific identification method. There were no marketable securities held as of October 3, 2025. The following table summarizes the amortized costs and fair values of the Company's marketable securities measured at fair value as of September 27,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98"/>
              </w:rPr>
              <w:t>Gross unrealized</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Gross unrealized</w:t>
            </w:r>
          </w:p>
        </w:tc>
      </w:tr>
      <w:tr>
        <w:trPr>
          <w:trHeight w:val="250"/>
        </w:trPr>
        <w:tc>
          <w:tcPr>
            <w:tcW w:w="38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Amortized Cost</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gains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losses</w:t>
            </w:r>
          </w:p>
        </w:tc>
      </w:tr>
      <w:tr>
        <w:trPr>
          <w:trHeight w:val="230"/>
        </w:trPr>
        <w:tc>
          <w:tcPr>
            <w:tcW w:w="3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rate US Government Bonds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7,493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Fixed rate Canadian Government Bonds</w:t>
            </w: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9,025</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9,045</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16,518</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jc w:val="both"/>
        <w:ind w:right="220"/>
        <w:spacing w:after="0"/>
        <w:rPr>
          <w:sz w:val="20"/>
          <w:szCs w:val="20"/>
          <w:color w:val="auto"/>
        </w:rPr>
      </w:pPr>
      <w:r>
        <w:rPr>
          <w:rFonts w:ascii="Times New Roman" w:cs="Times New Roman" w:eastAsia="Times New Roman" w:hAnsi="Times New Roman"/>
          <w:sz w:val="18"/>
          <w:szCs w:val="18"/>
          <w:color w:val="auto"/>
        </w:rPr>
        <w:t>Proceeds from the maturities of available-for-sale securities were $16,316, $27,025, and $0 during the years ended October 3, 2025, September 27, 2024 and September 29, 2023, respectively. During the year ended September 27, 2024, $2,218 of investments were purchased with proceeds from maturities. There were no other sales or purchases of available-for-sale securities for the years ended October 3, 2025, September 27, 2024 and September 29, 2023. There were no unrealized gains or losses reclassified out of accumulated other comprehensive income during the same periods.</w:t>
      </w:r>
    </w:p>
    <w:p>
      <w:pPr>
        <w:spacing w:after="0" w:line="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September 27, 2024 contractual maturities were all within one year from the period end and therefore were classified as Short-Term Investments on the Consolidated Balance Sheets. See Note 4 "Fair Value Measurements" for further discussion.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face value less an allowance for credit losses. The allowance for credit losses is based on a combination of factors and it is the Company's best estimate of the amount of estimated lifetime credit losses in accounts receivable. In circumstances where specific collection concerns exist, a reserve is established to reduce the amount recorded to an amount the Company believes will be collected. For all other customers, the Company recognizes allowances for credit losses based on historical experience of bad debts as a percent of outstanding accounts receivable for each business unit. Uncollectible accounts are written off against the allowance for credit losses after collection efforts have been exhausted. The Company typically does not require collateral on its accounts receivable. The allowance for credit losses is included within Accounts Receivable, net in the accompanying Consolidated Balance Sheets. The Company had no customers that individually accounted for more than 10% of the Company's trade accounts receivable.</w:t>
      </w:r>
    </w:p>
    <w:p>
      <w:pPr>
        <w:spacing w:after="0" w:line="21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Contractual accounts receivable was $51,686 and $44,192, with an allowance for credit losses of $1,232 and $3,543, as of October 3, 2025 and September 27, 2024, respectively. See Note 15 "Valuation and Qualifying Accounts" for activity related to the allowance for credit losses during the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values inventory at the lower of cost (determined using the first-in first-out method) or net realizable value. Management’s judgment is required to determine the reserve for obsolete or excess inventory. Inventory on hand may exceed future demand either because the product is outdated or because the amount on hand is more than will be used to meet future needs. Inventory reserves are estimated by the individual operating companies using standard quantitative measures based on criteria established by the Company. The Company also considers current forecast plans, as well as market and industry conditions in establishing reserve levels. Though the Company considers these reserve balances to be adequate, changes in economic conditions, customer inventory levels or competitive conditions could have a favorable or unfavorable effect on required reserve balances. The Company had no suppliers individually accounting for more than 10% of the Company's purchases.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at the end of the respective fiscal years consisted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Borders>
              <w:top w:val="single" w:sz="8" w:color="auto"/>
            </w:tcBorders>
          </w:tcPr>
          <w:p>
            <w:pPr>
              <w:spacing w:after="0"/>
              <w:rPr>
                <w:sz w:val="17"/>
                <w:szCs w:val="17"/>
                <w:color w:val="auto"/>
              </w:rPr>
            </w:pPr>
          </w:p>
        </w:tc>
        <w:tc>
          <w:tcPr>
            <w:tcW w:w="38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October 3</w:t>
            </w: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September 27</w:t>
            </w:r>
          </w:p>
        </w:tc>
      </w:tr>
      <w:tr>
        <w:trPr>
          <w:trHeight w:val="250"/>
        </w:trPr>
        <w:tc>
          <w:tcPr>
            <w:tcW w:w="4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90,993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103,780</w:t>
            </w:r>
          </w:p>
        </w:tc>
      </w:tr>
      <w:tr>
        <w:trPr>
          <w:trHeight w:val="23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79,733</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106,008</w:t>
            </w:r>
          </w:p>
        </w:tc>
      </w:tr>
      <w:tr>
        <w:trPr>
          <w:trHeight w:val="254"/>
        </w:trPr>
        <w:tc>
          <w:tcPr>
            <w:tcW w:w="4700" w:type="dxa"/>
            <w:vAlign w:val="bottom"/>
            <w:tcBorders>
              <w:bottom w:val="single" w:sz="8" w:color="auto"/>
            </w:tcBorders>
            <w:shd w:val="clear" w:color="auto" w:fill="CCEEFF"/>
          </w:tcPr>
          <w:p>
            <w:pPr>
              <w:spacing w:after="0"/>
              <w:rPr>
                <w:sz w:val="21"/>
                <w:szCs w:val="21"/>
                <w:color w:val="auto"/>
              </w:rPr>
            </w:pPr>
          </w:p>
        </w:tc>
        <w:tc>
          <w:tcPr>
            <w:tcW w:w="3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170,726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209,788</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5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of property, plant and equipment is determined by straight-line methods over the following estimated useful lives:</w:t>
      </w:r>
    </w:p>
    <w:tbl>
      <w:tblPr>
        <w:tblLayout w:type="fixed"/>
        <w:tblInd w:w="0" w:type="dxa"/>
        <w:tblCellMar>
          <w:top w:w="0" w:type="dxa"/>
          <w:left w:w="0" w:type="dxa"/>
          <w:bottom w:w="0" w:type="dxa"/>
          <w:right w:w="0" w:type="dxa"/>
        </w:tblCellMar>
      </w:tblPr>
      <w:tr>
        <w:trPr>
          <w:trHeight w:val="238"/>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4740" w:type="dxa"/>
            <w:vAlign w:val="bottom"/>
            <w:tcBorders>
              <w:top w:val="single" w:sz="8" w:color="auto"/>
            </w:tcBorders>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5-20 years</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20-40 years</w:t>
            </w:r>
          </w:p>
        </w:tc>
      </w:tr>
      <w:tr>
        <w:trPr>
          <w:trHeight w:val="236"/>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 equipment and computer software</w:t>
            </w:r>
          </w:p>
        </w:tc>
        <w:tc>
          <w:tcPr>
            <w:tcW w:w="4740" w:type="dxa"/>
            <w:vAlign w:val="bottom"/>
            <w:tcBorders>
              <w:bottom w:val="single" w:sz="8" w:color="auto"/>
            </w:tcBorders>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3-10 years</w:t>
            </w:r>
          </w:p>
        </w:tc>
      </w:tr>
    </w:tbl>
    <w:p>
      <w:pPr>
        <w:spacing w:after="0" w:line="3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Upon retirement or disposition of any of the foregoing types of assets, cost and the related accumulated depreciation are removed from the applicable account and any resulting gain or loss is recognized in the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at the end of the respective years consisted of the following:</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20" w:type="dxa"/>
            <w:vAlign w:val="bottom"/>
            <w:tcBorders>
              <w:top w:val="single" w:sz="8" w:color="auto"/>
              <w:bottom w:val="single" w:sz="8" w:color="auto"/>
            </w:tcBorders>
          </w:tcPr>
          <w:p>
            <w:pPr>
              <w:spacing w:after="0"/>
              <w:rPr>
                <w:sz w:val="22"/>
                <w:szCs w:val="22"/>
                <w:color w:val="auto"/>
              </w:rPr>
            </w:pPr>
          </w:p>
        </w:tc>
        <w:tc>
          <w:tcPr>
            <w:tcW w:w="23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2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3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37,082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36,135</w:t>
            </w:r>
          </w:p>
        </w:tc>
      </w:tr>
      <w:tr>
        <w:trPr>
          <w:trHeight w:val="237"/>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 equipment and computer software</w:t>
            </w:r>
          </w:p>
        </w:tc>
        <w:tc>
          <w:tcPr>
            <w:tcW w:w="2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266,594</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253,347</w:t>
            </w:r>
          </w:p>
        </w:tc>
      </w:tr>
      <w:tr>
        <w:trPr>
          <w:trHeight w:val="229"/>
        </w:trPr>
        <w:tc>
          <w:tcPr>
            <w:tcW w:w="62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304,006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289,812</w:t>
            </w:r>
          </w:p>
        </w:tc>
      </w:tr>
      <w:tr>
        <w:trPr>
          <w:trHeight w:val="237"/>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210,262</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192,890</w:t>
            </w:r>
          </w:p>
        </w:tc>
      </w:tr>
      <w:tr>
        <w:trPr>
          <w:trHeight w:val="230"/>
        </w:trPr>
        <w:tc>
          <w:tcPr>
            <w:tcW w:w="6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93,744</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96,922</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Depreciation expense for the Company was $20,044, $19,269, and $16,005 for the fiscal years ended October 3, 2025, September 27, 2024, and September 29,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applies a fair value-based impairment test to the carrying value of goodwill on an annual basis as of the last day of the eleventh month of the Company’s fiscal year and, if certain events or circumstances indicate that an impairment loss may have been incurred, on an interim basis. The Company can elect to perform a quantitative or qualitative test of impairment.</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performed a quantitative impairment assessment for goodwill for fiscal years 2025, 2024 and 2023. In conducting its analysis, the Company uses the income approach, through the use of a discounted cash flow model, to compare the reporting unit’s carrying value to its indicated fair value. The discounted cash flow model used to estimate the fair value of a reporting unit requires considerable management judgment to determine the key assumptions and is considered a Level 3 (unobservable) fair value determination in the fair value hierarchy (see Note 4 below).</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2024, the Company's annual goodwill impairment test indicated the carrying value of the Fishing reporting unit exceeded its estimated fair value as of the measurement date of August 30, 2024. As a result, the Company recognized a goodwill impairment charge in the fourth quarter of fiscal 2024 of $11,173, which was recorded in "Goodwill Impairment" in the accompanying Consolidated Statements of Operations in the Fishing segment, thereby reducing the carrying value of this goodwill to $0. This non-cash impairment was primarily driven by reduced cash flow projections in the Fishing reporting unit, prompted by ongoing market challenges and competitive pressure.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impairment tests performed in 2025 and 2023 indicated no impairment to the Company’s goodwill.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and the composition of the Company's goodwill for fiscal 2025 and 2024 were as follows:</w:t>
      </w:r>
    </w:p>
    <w:p>
      <w:pPr>
        <w:spacing w:after="0" w:line="277"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Camping &amp;</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50"/>
        </w:trPr>
        <w:tc>
          <w:tcPr>
            <w:tcW w:w="3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Fishing</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Watercraft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Diving</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29, 2023</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13,280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63,759</w:t>
            </w:r>
          </w:p>
        </w:tc>
      </w:tr>
      <w:tr>
        <w:trPr>
          <w:trHeight w:val="237"/>
        </w:trPr>
        <w:tc>
          <w:tcPr>
            <w:tcW w:w="31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(52,587)</w:t>
            </w:r>
          </w:p>
        </w:tc>
      </w:tr>
      <w:tr>
        <w:trPr>
          <w:trHeight w:val="230"/>
        </w:trPr>
        <w:tc>
          <w:tcPr>
            <w:tcW w:w="3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11,172</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w:t>
            </w:r>
          </w:p>
        </w:tc>
      </w:tr>
      <w:tr>
        <w:trPr>
          <w:trHeight w:val="229"/>
        </w:trPr>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Currency translation</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3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Impairment loss</w:t>
            </w: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27, 2024</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17,402</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13,280</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63,760</w:t>
            </w:r>
          </w:p>
        </w:tc>
      </w:tr>
      <w:tr>
        <w:trPr>
          <w:trHeight w:val="237"/>
        </w:trPr>
        <w:tc>
          <w:tcPr>
            <w:tcW w:w="31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(63,760)</w:t>
            </w:r>
          </w:p>
        </w:tc>
      </w:tr>
      <w:tr>
        <w:trPr>
          <w:trHeight w:val="230"/>
        </w:trPr>
        <w:tc>
          <w:tcPr>
            <w:tcW w:w="3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Acquisition</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r>
      <w:tr>
        <w:trPr>
          <w:trHeight w:val="230"/>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Currency translation</w:t>
            </w:r>
          </w:p>
        </w:tc>
        <w:tc>
          <w:tcPr>
            <w:tcW w:w="6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2025</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17,402</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13,280</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43,534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74,216</w:t>
            </w:r>
          </w:p>
        </w:tc>
      </w:tr>
      <w:tr>
        <w:trPr>
          <w:trHeight w:val="236"/>
        </w:trPr>
        <w:tc>
          <w:tcPr>
            <w:tcW w:w="31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(63,760)</w:t>
            </w:r>
          </w:p>
        </w:tc>
      </w:tr>
      <w:tr>
        <w:trPr>
          <w:trHeight w:val="229"/>
        </w:trPr>
        <w:tc>
          <w:tcPr>
            <w:tcW w:w="3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10,456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r>
      <w:tr>
        <w:trPr>
          <w:trHeight w:val="21"/>
        </w:trPr>
        <w:tc>
          <w:tcPr>
            <w:tcW w:w="3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17 "Acquisitions" for further discussion regarding the acquisition of goodwill during the year ended October 3, 2025.</w:t>
      </w:r>
    </w:p>
    <w:p>
      <w:pPr>
        <w:sectPr>
          <w:pgSz w:w="11900" w:h="16838" w:orient="portrait"/>
          <w:cols w:equalWidth="0" w:num="1">
            <w:col w:w="11240"/>
          </w:cols>
          <w:pgMar w:left="320" w:top="119" w:right="339" w:bottom="1440" w:gutter="0" w:footer="0" w:header="0"/>
        </w:sectPr>
      </w:pPr>
    </w:p>
    <w:p>
      <w:pPr>
        <w:spacing w:after="0" w:line="360"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Indefinite-lived intangible assets are also tested for impairment annually and, if certain events or circumstances indicate that an impairment loss may have been incurred, on an interim basis. There were no impairment losses recognized in fiscal 2025, 2024 or 2023.</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Intangible assets with definite lives are stated at cost less accumulated amortization. Amortization is computed using the straight-line method over periods ranging from 4 to 15 years. Amortization of patents and other intangible assets with definite lives was $583, $339 and $290 for 2025, 2024 and 2023, respectively. Amortization of these definite-lived intangible assets is expected to be approximately $559 for fiscal 2026, $542 for fiscal 2027, $336 for fiscal 2028, $295 for both fiscal 2029 and fiscal 2030.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at the end of the last two years consisted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6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3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180"/>
        </w:trPr>
        <w:tc>
          <w:tcPr>
            <w:tcW w:w="2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390"/>
              <w:spacing w:after="0" w:line="181" w:lineRule="exact"/>
              <w:rPr>
                <w:sz w:val="20"/>
                <w:szCs w:val="20"/>
                <w:color w:val="auto"/>
              </w:rPr>
            </w:pPr>
            <w:r>
              <w:rPr>
                <w:rFonts w:ascii="Times New Roman" w:cs="Times New Roman" w:eastAsia="Times New Roman" w:hAnsi="Times New Roman"/>
                <w:sz w:val="18"/>
                <w:szCs w:val="18"/>
                <w:color w:val="auto"/>
              </w:rPr>
              <w:t>Gross</w:t>
            </w:r>
          </w:p>
        </w:tc>
        <w:tc>
          <w:tcPr>
            <w:tcW w:w="220" w:type="dxa"/>
            <w:vAlign w:val="bottom"/>
          </w:tcPr>
          <w:p>
            <w:pPr>
              <w:spacing w:after="0"/>
              <w:rPr>
                <w:sz w:val="15"/>
                <w:szCs w:val="15"/>
                <w:color w:val="auto"/>
              </w:rPr>
            </w:pPr>
          </w:p>
        </w:tc>
        <w:tc>
          <w:tcPr>
            <w:tcW w:w="124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90"/>
              <w:spacing w:after="0" w:line="181" w:lineRule="exact"/>
              <w:rPr>
                <w:sz w:val="20"/>
                <w:szCs w:val="20"/>
                <w:color w:val="auto"/>
              </w:rPr>
            </w:pPr>
            <w:r>
              <w:rPr>
                <w:rFonts w:ascii="Times New Roman" w:cs="Times New Roman" w:eastAsia="Times New Roman" w:hAnsi="Times New Roman"/>
                <w:sz w:val="18"/>
                <w:szCs w:val="18"/>
                <w:color w:val="auto"/>
              </w:rPr>
              <w:t>Gross</w:t>
            </w:r>
          </w:p>
        </w:tc>
        <w:tc>
          <w:tcPr>
            <w:tcW w:w="220" w:type="dxa"/>
            <w:vAlign w:val="bottom"/>
          </w:tcPr>
          <w:p>
            <w:pPr>
              <w:spacing w:after="0"/>
              <w:rPr>
                <w:sz w:val="15"/>
                <w:szCs w:val="15"/>
                <w:color w:val="auto"/>
              </w:rPr>
            </w:pPr>
          </w:p>
        </w:tc>
        <w:tc>
          <w:tcPr>
            <w:tcW w:w="12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Accumulated</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50"/>
        </w:trPr>
        <w:tc>
          <w:tcPr>
            <w:tcW w:w="2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Intangible</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Amortization</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Net</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Intangible</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Amortization</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Net</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Amortized other intangible 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trademarks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amortizable intangibles</w:t>
            </w:r>
          </w:p>
        </w:tc>
        <w:tc>
          <w:tcPr>
            <w:tcW w:w="36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36"/>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Non-amortized trademarks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7,025</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7,025</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7,025</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r>
      <w:tr>
        <w:trPr>
          <w:trHeight w:val="230"/>
        </w:trPr>
        <w:tc>
          <w:tcPr>
            <w:tcW w:w="2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9,529</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(15,413)</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business circumstances, such as unplanned negative cash flow, indicate that the carrying amount of these assets may not be fully recoverable. In such an event, the carrying amount of the asset group is compared to the future undiscounted cash flows expected to be generated by the asset group to determine if impairment exists on these assets. If impairment is determined to exist, any related impairment loss is calculated based on the difference between the fair value and the carrying value on these assets. During the fourth quarter of fiscal 2024, the Company determined that indicators of potential impairment of long-lived assets were present in the Watercraft and Fishing segments, and, as a result, the Company performed an analysis of future undiscounted cash flows, which exceeded the carrying value of the respective asset groups. Therefore, it was determined there was no impairment of any long-lived assets during fiscal 2024. During the fourth quarters of fiscal 2025 and 2023, the Company determined it was not necessary to perform an impairment analysis, as there were no events or changes in business circumstances that indicated that the carrying amount of the assets may not be fully recoverable. Accordingly, there was no impairment of any long-lived assets during fiscal 2025 or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for warranties of certain products as they are sold. Warranty reserves are estimated using standard quantitative measures based on criteria established by the Company. Estimates of costs to service its warranty obligations are based on historical experience, expectation of future conditions and known product issues. The following table summarizes the warranty activity for the three years in the period ended October 3,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328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20" w:type="dxa"/>
            <w:vAlign w:val="bottom"/>
          </w:tcPr>
          <w:p>
            <w:pPr>
              <w:spacing w:after="0"/>
              <w:rPr>
                <w:sz w:val="22"/>
                <w:szCs w:val="22"/>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accruals for warranties issued during the period</w:t>
            </w:r>
          </w:p>
        </w:tc>
        <w:tc>
          <w:tcPr>
            <w:tcW w:w="3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20" w:type="dxa"/>
            <w:vAlign w:val="bottom"/>
          </w:tcPr>
          <w:p>
            <w:pPr>
              <w:spacing w:after="0"/>
              <w:rPr>
                <w:sz w:val="19"/>
                <w:szCs w:val="19"/>
                <w:color w:val="auto"/>
              </w:rPr>
            </w:pPr>
          </w:p>
        </w:tc>
      </w:tr>
      <w:tr>
        <w:trPr>
          <w:trHeight w:val="237"/>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period warranty claims paid</w:t>
            </w:r>
          </w:p>
        </w:tc>
        <w:tc>
          <w:tcPr>
            <w:tcW w:w="3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20" w:type="dxa"/>
            <w:vAlign w:val="bottom"/>
          </w:tcPr>
          <w:p>
            <w:pPr>
              <w:spacing w:after="0"/>
              <w:rPr>
                <w:sz w:val="20"/>
                <w:szCs w:val="20"/>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29, 2023</w:t>
            </w:r>
          </w:p>
        </w:tc>
        <w:tc>
          <w:tcPr>
            <w:tcW w:w="3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20" w:type="dxa"/>
            <w:vAlign w:val="bottom"/>
          </w:tcPr>
          <w:p>
            <w:pPr>
              <w:spacing w:after="0"/>
              <w:rPr>
                <w:sz w:val="19"/>
                <w:szCs w:val="19"/>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accruals for warranties issued during the period</w:t>
            </w:r>
          </w:p>
        </w:tc>
        <w:tc>
          <w:tcPr>
            <w:tcW w:w="3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20" w:type="dxa"/>
            <w:vAlign w:val="bottom"/>
          </w:tcPr>
          <w:p>
            <w:pPr>
              <w:spacing w:after="0"/>
              <w:rPr>
                <w:sz w:val="19"/>
                <w:szCs w:val="19"/>
                <w:color w:val="auto"/>
              </w:rPr>
            </w:pPr>
          </w:p>
        </w:tc>
      </w:tr>
      <w:tr>
        <w:trPr>
          <w:trHeight w:val="237"/>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period warranty claims paid</w:t>
            </w:r>
          </w:p>
        </w:tc>
        <w:tc>
          <w:tcPr>
            <w:tcW w:w="3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20" w:type="dxa"/>
            <w:vAlign w:val="bottom"/>
          </w:tcPr>
          <w:p>
            <w:pPr>
              <w:spacing w:after="0"/>
              <w:rPr>
                <w:sz w:val="20"/>
                <w:szCs w:val="20"/>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27, 2024</w:t>
            </w:r>
          </w:p>
        </w:tc>
        <w:tc>
          <w:tcPr>
            <w:tcW w:w="3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20" w:type="dxa"/>
            <w:vAlign w:val="bottom"/>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accruals for warranties issued during the period</w:t>
            </w:r>
          </w:p>
        </w:tc>
        <w:tc>
          <w:tcPr>
            <w:tcW w:w="3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20" w:type="dxa"/>
            <w:vAlign w:val="bottom"/>
          </w:tcPr>
          <w:p>
            <w:pPr>
              <w:spacing w:after="0"/>
              <w:rPr>
                <w:sz w:val="19"/>
                <w:szCs w:val="19"/>
                <w:color w:val="auto"/>
              </w:rPr>
            </w:pPr>
          </w:p>
        </w:tc>
      </w:tr>
      <w:tr>
        <w:trPr>
          <w:trHeight w:val="237"/>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period warranty claims paid</w:t>
            </w:r>
          </w:p>
        </w:tc>
        <w:tc>
          <w:tcPr>
            <w:tcW w:w="3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20" w:type="dxa"/>
            <w:vAlign w:val="bottom"/>
          </w:tcPr>
          <w:p>
            <w:pPr>
              <w:spacing w:after="0"/>
              <w:rPr>
                <w:sz w:val="20"/>
                <w:szCs w:val="20"/>
                <w:color w:val="auto"/>
              </w:rPr>
            </w:pPr>
          </w:p>
        </w:tc>
      </w:tr>
      <w:tr>
        <w:trPr>
          <w:trHeight w:val="229"/>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October 3, 2025</w:t>
            </w:r>
          </w:p>
        </w:tc>
        <w:tc>
          <w:tcPr>
            <w:tcW w:w="3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0" w:type="dxa"/>
            <w:vAlign w:val="bottom"/>
          </w:tcPr>
          <w:p>
            <w:pPr>
              <w:spacing w:after="0"/>
              <w:rPr>
                <w:sz w:val="19"/>
                <w:szCs w:val="19"/>
                <w:color w:val="auto"/>
              </w:rPr>
            </w:pPr>
          </w:p>
        </w:tc>
      </w:tr>
      <w:tr>
        <w:trPr>
          <w:trHeight w:val="21"/>
        </w:trPr>
        <w:tc>
          <w:tcPr>
            <w:tcW w:w="70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7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3"/>
              </w:rPr>
              <w:t>F-14</w:t>
            </w:r>
          </w:p>
        </w:tc>
      </w:tr>
      <w:tr>
        <w:trPr>
          <w:trHeight w:val="115"/>
        </w:trPr>
        <w:tc>
          <w:tcPr>
            <w:tcW w:w="70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components of Accumulated other comprehensive income ("AOCI") on the accompanying Consolidated Balance Sheets as of the end of fiscal year 2025, 2024 and 2023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74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r>
      <w:tr>
        <w:trPr>
          <w:trHeight w:val="176"/>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96"/>
              </w:rPr>
              <w:t>Pre-Tax</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Net of Tax</w:t>
            </w:r>
          </w:p>
        </w:tc>
        <w:tc>
          <w:tcPr>
            <w:tcW w:w="180" w:type="dxa"/>
            <w:vAlign w:val="bottom"/>
          </w:tcPr>
          <w:p>
            <w:pPr>
              <w:spacing w:after="0"/>
              <w:rPr>
                <w:sz w:val="15"/>
                <w:szCs w:val="15"/>
                <w:color w:val="auto"/>
              </w:rPr>
            </w:pPr>
          </w:p>
        </w:tc>
        <w:tc>
          <w:tcPr>
            <w:tcW w:w="78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99"/>
              </w:rPr>
              <w:t>Pre-Tax</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Net of Tax</w:t>
            </w:r>
          </w:p>
        </w:tc>
        <w:tc>
          <w:tcPr>
            <w:tcW w:w="180" w:type="dxa"/>
            <w:vAlign w:val="bottom"/>
          </w:tcPr>
          <w:p>
            <w:pPr>
              <w:spacing w:after="0"/>
              <w:rPr>
                <w:sz w:val="15"/>
                <w:szCs w:val="15"/>
                <w:color w:val="auto"/>
              </w:rPr>
            </w:pPr>
          </w:p>
        </w:tc>
        <w:tc>
          <w:tcPr>
            <w:tcW w:w="78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99"/>
              </w:rPr>
              <w:t>Pre-Tax</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99"/>
              </w:rPr>
              <w:t>Net of Tax</w:t>
            </w:r>
          </w:p>
        </w:tc>
      </w:tr>
      <w:tr>
        <w:trPr>
          <w:trHeight w:val="250"/>
        </w:trPr>
        <w:tc>
          <w:tcPr>
            <w:tcW w:w="17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Effect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9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Tax Effect</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Effect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Tax Effect</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Effect</w:t>
            </w: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  $</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r>
      <w:tr>
        <w:trPr>
          <w:trHeight w:val="175"/>
        </w:trPr>
        <w:tc>
          <w:tcPr>
            <w:tcW w:w="1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on</w:t>
            </w: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available-for-sale</w:t>
            </w: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Unamortized loss on</w:t>
            </w: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18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169"/>
        </w:trPr>
        <w:tc>
          <w:tcPr>
            <w:tcW w:w="1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Accumulated other</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3"/>
        </w:trPr>
        <w:tc>
          <w:tcPr>
            <w:tcW w:w="1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7,162</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3,142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reclassifications out of AOCI for the years ended October 3, 2025, September 27, 2024, and September 29, 2023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Statement of Operations</w:t>
            </w:r>
          </w:p>
        </w:tc>
      </w:tr>
      <w:tr>
        <w:trPr>
          <w:trHeight w:val="250"/>
        </w:trPr>
        <w:tc>
          <w:tcPr>
            <w:tcW w:w="4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Presentation</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loss on defined benefit pension plans</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loss</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45</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 / Operating expense</w:t>
            </w:r>
          </w:p>
        </w:tc>
      </w:tr>
      <w:tr>
        <w:trPr>
          <w:trHeight w:val="223"/>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(11)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(11)</w:t>
            </w:r>
          </w:p>
        </w:tc>
        <w:tc>
          <w:tcPr>
            <w:tcW w:w="3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r>
      <w:tr>
        <w:trPr>
          <w:trHeight w:val="255"/>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3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34</w:t>
            </w:r>
          </w:p>
        </w:tc>
        <w:tc>
          <w:tcPr>
            <w:tcW w:w="3180" w:type="dxa"/>
            <w:vAlign w:val="bottom"/>
            <w:tcBorders>
              <w:bottom w:val="single" w:sz="8" w:color="auto"/>
            </w:tcBorders>
            <w:shd w:val="clear" w:color="auto" w:fill="CCEEFF"/>
          </w:tcPr>
          <w:p>
            <w:pPr>
              <w:spacing w:after="0"/>
              <w:rPr>
                <w:sz w:val="21"/>
                <w:szCs w:val="21"/>
                <w:color w:val="auto"/>
              </w:rPr>
            </w:pPr>
          </w:p>
        </w:tc>
      </w:tr>
      <w:tr>
        <w:trPr>
          <w:trHeight w:val="20"/>
        </w:trPr>
        <w:tc>
          <w:tcPr>
            <w:tcW w:w="4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AOCI by component, net of tax, for the year ended October 3, 2025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Foreign</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Unrealized gain</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Unamortized</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Currency</w:t>
            </w:r>
          </w:p>
        </w:tc>
        <w:tc>
          <w:tcPr>
            <w:tcW w:w="2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Loss on Defined</w:t>
            </w:r>
          </w:p>
        </w:tc>
        <w:tc>
          <w:tcPr>
            <w:tcW w:w="220" w:type="dxa"/>
            <w:vAlign w:val="bottom"/>
          </w:tcPr>
          <w:p>
            <w:pPr>
              <w:spacing w:after="0"/>
              <w:rPr>
                <w:sz w:val="15"/>
                <w:szCs w:val="15"/>
                <w:color w:val="auto"/>
              </w:rPr>
            </w:pPr>
          </w:p>
        </w:tc>
        <w:tc>
          <w:tcPr>
            <w:tcW w:w="138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7"/>
              </w:rPr>
              <w:t>Translation</w:t>
            </w: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(loss) on available-</w:t>
            </w:r>
          </w:p>
        </w:tc>
        <w:tc>
          <w:tcPr>
            <w:tcW w:w="180" w:type="dxa"/>
            <w:vAlign w:val="bottom"/>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Benefit Pension</w:t>
            </w:r>
          </w:p>
        </w:tc>
        <w:tc>
          <w:tcPr>
            <w:tcW w:w="220" w:type="dxa"/>
            <w:vAlign w:val="bottom"/>
          </w:tcPr>
          <w:p>
            <w:pPr>
              <w:spacing w:after="0"/>
              <w:rPr>
                <w:sz w:val="15"/>
                <w:szCs w:val="15"/>
                <w:color w:val="auto"/>
              </w:rPr>
            </w:pPr>
          </w:p>
        </w:tc>
        <w:tc>
          <w:tcPr>
            <w:tcW w:w="13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0" w:type="dxa"/>
            <w:vAlign w:val="bottom"/>
          </w:tcPr>
          <w:p>
            <w:pPr>
              <w:spacing w:after="0"/>
              <w:rPr>
                <w:sz w:val="1"/>
                <w:szCs w:val="1"/>
                <w:color w:val="auto"/>
              </w:rPr>
            </w:pPr>
          </w:p>
        </w:tc>
      </w:tr>
      <w:tr>
        <w:trPr>
          <w:trHeight w:val="236"/>
        </w:trPr>
        <w:tc>
          <w:tcPr>
            <w:tcW w:w="4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Adjustment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for-sale securities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Plans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Income (Loss)</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27, 2024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4"/>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AOCI by component, net of tax, for the year ended September 27, 2024 were as follows: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w w:val="99"/>
              </w:rPr>
              <w:t>Foreign</w:t>
            </w: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Unrealized gain</w:t>
            </w: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9"/>
              </w:rPr>
              <w:t>Unamortized</w:t>
            </w: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2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Loss on Defined</w:t>
            </w:r>
          </w:p>
        </w:tc>
        <w:tc>
          <w:tcPr>
            <w:tcW w:w="220" w:type="dxa"/>
            <w:vAlign w:val="bottom"/>
          </w:tcPr>
          <w:p>
            <w:pPr>
              <w:spacing w:after="0"/>
              <w:rPr>
                <w:sz w:val="15"/>
                <w:szCs w:val="15"/>
                <w:color w:val="auto"/>
              </w:rPr>
            </w:pPr>
          </w:p>
        </w:tc>
        <w:tc>
          <w:tcPr>
            <w:tcW w:w="13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7"/>
              </w:rPr>
              <w:t>Translation</w:t>
            </w: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(loss) on available-</w:t>
            </w:r>
          </w:p>
        </w:tc>
        <w:tc>
          <w:tcPr>
            <w:tcW w:w="180" w:type="dxa"/>
            <w:vAlign w:val="bottom"/>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Benefit Pension</w:t>
            </w:r>
          </w:p>
        </w:tc>
        <w:tc>
          <w:tcPr>
            <w:tcW w:w="220" w:type="dxa"/>
            <w:vAlign w:val="bottom"/>
          </w:tcPr>
          <w:p>
            <w:pPr>
              <w:spacing w:after="0"/>
              <w:rPr>
                <w:sz w:val="15"/>
                <w:szCs w:val="15"/>
                <w:color w:val="auto"/>
              </w:rPr>
            </w:pPr>
          </w:p>
        </w:tc>
        <w:tc>
          <w:tcPr>
            <w:tcW w:w="13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Adjustment</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for-sale securities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Plans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Income (Loss)</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29, 2023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w:t>
            </w:r>
          </w:p>
        </w:tc>
        <w:tc>
          <w:tcPr>
            <w:tcW w:w="2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176"/>
        </w:trPr>
        <w:tc>
          <w:tcPr>
            <w:tcW w:w="4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6"/>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5"/>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27,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(“EPS”)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income or loss per share of Class A common stock and Class B common stock is computed using the two-class method. Grants of restricted stock (whether vested or unvested) which receive non-forfeitable dividends are required to be included as part of the basic weighted average share calculation under the two-class method.</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Holders of Class A common stock are entitled to cash dividends equal to 110% of all dividends declared and paid on each share of Class B common stock. The Company grants shares of unvested restricted stock in the form of Class A shares, which carry the same distribution rights as the Class A common stock described above. As such, the undistributed earnings for each period are allocated to each class of common stock based on the proportionate share of the amount of cash dividends that each such class is entitled to receive.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Basic EPS</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Basic net income or loss per share is computed by dividing net income or loss allocated to Class A common stock and Class B common stock by the weighted-average number of shares of Class A common stock and Class B common stock outstanding, respectively. In periods with cumulative year to date net income and undistributed income, the undistributed income for each period is allocated to each class of common stock based on the proportionate share of the amount of cash dividends that each such class is entitled to receive. In periods where there is a cumulative year to date net loss or no undistributed income because distributions through dividends exceed net income, Class B shares are treated as anti-dilutive and, therefore, net losses are allocated equally on a per share basis among all participating securities.</w:t>
      </w: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years ended October 3, 2025 and September 27, 2024, basic net loss per share for Class A and Class B shares was the same because there were no cumulative undistributed earnings. For the year ended September 29, 2023, basic income per share for Class A and Class B shares has been presented using the two class method as described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Diluted EPS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Diluted net income per share is computed by dividing allocated net income by the weighted-average number of common shares outstanding, adjusted for the effect of dilutive stock options, restricted stock units and non-vested restricted stock. Anti-dilutive stock options, restricted stock units and non-vested stock are excluded from the calculation of diluted EPS. The computation of diluted net income per share of Class A common stock assumes that Class B common stock is converted into Class A common stock. Therefore, diluted net income per share is the same for both Class A and Class B common shares. In periods where the Company reports a net loss or no undistributed income because distributions through dividends exceed net income, the effect of anti-dilutive stock options, restricted stock units and non-vested stock is excluded and diluted loss per share is equal to basic loss per share.</w:t>
      </w:r>
    </w:p>
    <w:p>
      <w:pPr>
        <w:spacing w:after="0" w:line="21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For the years ended October 3, 2025 and September 27, 2024, the effect of non-vested restricted stock units is excluded from the diluted loss per share calculation as their inclusion would have been anti-dilutive. For the year ended September 29, 2023, diluted net income per share reflects the effect of dilutive stock options and restricted stock units and assumes the conversion of Class B common stock into Class A common stock.</w:t>
      </w:r>
    </w:p>
    <w:p>
      <w:pPr>
        <w:spacing w:after="0" w:line="20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Shares of non-vested stock that could potentially dilute earnings per share in the future which were not included in the fully diluted computation because they would have been anti-dilutive totaled 84,167, 67,285 and 63,506 shares for the years ended October 3, 2025, September 27, 2024 and September 29, 2023, respectively. Stock units that could potentially dilute earnings per share in the future and which were not included in the fully diluted computation because they would have been anti-dilutive totaled 93,214, 70,715 and 49,531 shares for the years ended October 3, 2025, September 27, 2024 and September 29, 2023, respectively.</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0"/>
        <w:spacing w:after="0" w:line="276"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to dilutive earnings used in the diluted earnings per common share calculations and the computation of basic and diluted earnings per common share:</w:t>
      </w:r>
    </w:p>
    <w:tbl>
      <w:tblPr>
        <w:tblLayout w:type="fixed"/>
        <w:tblInd w:w="0" w:type="dxa"/>
        <w:tblCellMar>
          <w:top w:w="0" w:type="dxa"/>
          <w:left w:w="0" w:type="dxa"/>
          <w:bottom w:w="0" w:type="dxa"/>
          <w:right w:w="0" w:type="dxa"/>
        </w:tblCellMar>
      </w:tblPr>
      <w:tr>
        <w:trPr>
          <w:trHeight w:val="245"/>
        </w:trPr>
        <w:tc>
          <w:tcPr>
            <w:tcW w:w="60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r>
      <w:tr>
        <w:trPr>
          <w:trHeight w:val="237"/>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Undistributed loss (earnings) reallocated to non-vested shareholders</w:t>
            </w:r>
          </w:p>
        </w:tc>
        <w:tc>
          <w:tcPr>
            <w:tcW w:w="1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54"/>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(loss) earnings</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19,412</w:t>
            </w: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 Basic:</w:t>
            </w: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9,056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9,013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0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7"/>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restricted stock units</w:t>
            </w:r>
          </w:p>
        </w:tc>
        <w:tc>
          <w:tcPr>
            <w:tcW w:w="10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10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10,264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10,221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 Basic:</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 Diluted:</w:t>
            </w: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6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
        </w:trPr>
        <w:tc>
          <w:tcPr>
            <w:tcW w:w="6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Stock-based compensation cost is recorded for all awards of non-vested stock and restricted stock units based on their grant-date fair value. Stock-based compensation expense is recognized on a straight-line basis over the vesting period of each award. See Note 10 of these Notes to Consolidated Financial Statements for information regarding the Company’s stock-based incentive plans, including non-vested stock, restricted stock units and employee stock purchase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provides for income taxes currently payable and deferred income taxes resulting from temporary differences between financial statement income/loss and taxable income/loss. Accrued interest and penalties related to unrecognized tax benefits are recognized as a component of income tax expense. Deferred income tax assets and liabilities are determined based on the difference between the amounts reported in the financial statements and the tax basis of assets and liabilities, using enacted tax rates in effect in the years in which the differences are expected to reverse. Deferred income tax assets and liabilities are adjusted for the effects of changes in tax laws and rates on the date of enactment. A valuation allowance is established if it is more likely than not that some portion or all of a deferred income tax asset will not be realized. See Note 6 of these Notes to Consolidated Financial Statements for further discussion.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have various retirement and profit sharing plans. The Company does not have any significant foreign retirement plans. Retirement costs are funded at least annually. See Note 7 of these Notes to Consolidated Financial Statements for additional discussion.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 and Related Derivative Financial Instruments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functional currencies of the Company’s foreign operations are the local currencies. Accordingly, assets and liabilities of foreign operations are translated into U.S. dollars at the rate of exchange existing at the end of the year. Results of operations are translated at monthly average exchange rates. Adjustments resulting from the translation of foreign currency financial statements are classified as “Accumulated other comprehensive income (loss),” a separate component of Shareholders’ equity.</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Currency gains and losses are recognized when assets and liabilities of foreign operations, denominated in other than their local currency, are converted into the local currency of the entity. Additionally, currency gains and losses are recognized through the settlement of transactions denominated in other than the local currency. The Company recognized currency losses from transactions of $126, $385 and $114 in 2025, 2024, and 2023, respectively, which were included in Other income, net in the accompanying Consolidated Statements of Operations.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the Company operates internationally, it has exposure to market risk from movements in foreign currency exchange rates. Approximately 13% of the Company’s revenues for the year ended October 3, 2025 were denominated in currencies other than the U.S. dollar. Approximately 6% were denominated in euros and approximately 5% were denominated in Canadian dollars, with the remaining 2% denominated in various other foreign currencies. The Company may mitigate the impact on its operating results of a portion of the fluctuations in certain foreign currencies through the purchase of foreign currency swaps, forward contracts and options to hedge known commitments denominated in foreign currencies or borrowings in foreign currencies. The Company did not use foreign currency forward contracts in 2025, 2024 or 2023. The Company does not enter into foreign exchange contracts for trading or speculative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&amp; Promotions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expenses substantially all costs related to the production of advertising the first time the advertising takes place. Cooperative promotional arrangements are accrued as related revenue is earned.</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Advertising and promotions expense in 2025, 2024 and 2023 totaled $34,890, $44,732 and $35,503, respectively. These charges are included in “Marketing and selling expenses.” Capitalized advertising costs, included in Other current assets, totaled $488 and $413 at October 3, 2025 and September 27, 2024, respectively, and primarily included catalogs and costs of advertising which have not yet run for the first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Shipping and handling fees billed to customers are included in “Net sales.” Shipping and handling costs are included in “Marketing and selling expenses” and totaled $12,379, $13,196 and $15,519 for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except for costs of software development for new electronic products and bathymetry data collection and processing, which are capitalized once technological feasibility is established and are included in Furniture, Fixtures and Equipment. The gross amount capitalized related to software development was $75,030, less accumulated amortization of $45,759, at October 3, 2025 and $66,909, less accumulated amortization of $41,284, at September 27, 2024. These costs are amortized over the expected life of the software of three to seven years. Amortization expense related to capitalized software in 2025, 2024 and 2023 was $4,475, $3,350 and $4,062, respectively, and is included in depreciation expense on plant, property and equipment.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carrying amounts of cash, cash equivalents, short-term investments, accounts receivable, and accounts payable approximated fair value at October 3, 2025 and September 27, 2024 due to the short maturities of these instruments. During 2025, 2024 and 2023, the Company held investments in equity and debt securities that were carried at fair value related to its deferred compensation liability which was also carried at the same fair value. When indicators of impairment are present, the Company may be required to value certain long-lived assets such as property, plant, and equipment, and other intangibles at fair value.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Techniques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Rabbi Trust Assets</w:t>
      </w:r>
    </w:p>
    <w:p>
      <w:pPr>
        <w:spacing w:after="0" w:line="29"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8"/>
          <w:szCs w:val="18"/>
          <w:color w:val="auto"/>
        </w:rPr>
        <w:t>Rabbi trust assets, used to fund amounts the Company owes to certain officers and other employees under the Company’s non-qualified deferred compensation plan, are included in “Other assets,” and are classified as trading securities. These assets are comprised of marketable debt and equity securities that are marked to fair value based on unadjusted quoted prices in active markets.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Marketable securities, which are included in "Short-term Investments" and "Investments," based on maturity date, are classified as available-for-sale securities. These assets are comprised of marketable debt securities, with fair values determined using significant other observable inputs, which include quoted prices in markets that are not active, quoted prices of similar securities, recently executed transactions, broker quotations, and other inputs that are observable.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29"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In assessing the recoverability of the Company’s goodwill and other intangible assets, the Company estimates the future discounted cash flows of the business segments to which the goodwill relates. When estimated future discounted cash flows are</w:t>
      </w: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less than the carrying value of the net assets and related goodwill, an impairment charge is recognized based on the excess of the carrying amount over the fair value. In determining estimated future cash flows, the Company makes assumptions regarding anticipated financial position, future earnings and other factors to determine the fair value of the respective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of these Notes to Consolidated Financial Statements for disclosures regarding fair value measurements.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4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 xml:space="preserve">In November 2023, the Financial Account Standards Board (FASB), issued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is intended to improve the disclosures about a public entity's reportable segments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address requests from investors for additional, more detailed information about a reportable segment's expenses. The amendments in this ASU do not change how a public entity identifies its operating segments, aggregates those operating segments, or applies the quantitative thresholds to determine its reportable segments. The amendments to this standard apply to all public entities that are required to report segment information in accordance with Topic 280, Segment Reporting and are effective for fiscal years beginning after December 15, 2023, and interim periods within fiscal years beginning after December 15, 2024. The Company adopted this guidance for the year ending October 3, 2025 and subsequent interim periods. The adoption of this standard did not impact the Company’s results of operations or financial position. See Note 13 </w:t>
      </w:r>
      <w:r>
        <w:rPr>
          <w:rFonts w:ascii="Times New Roman" w:cs="Times New Roman" w:eastAsia="Times New Roman" w:hAnsi="Times New Roman"/>
          <w:sz w:val="18"/>
          <w:szCs w:val="18"/>
          <w:i w:val="1"/>
          <w:iCs w:val="1"/>
          <w:color w:val="auto"/>
        </w:rPr>
        <w:t>Segments of Business</w:t>
      </w:r>
      <w:r>
        <w:rPr>
          <w:rFonts w:ascii="Times New Roman" w:cs="Times New Roman" w:eastAsia="Times New Roman" w:hAnsi="Times New Roman"/>
          <w:sz w:val="18"/>
          <w:szCs w:val="18"/>
          <w:color w:val="auto"/>
        </w:rPr>
        <w:t xml:space="preserve"> for the new disclosures required by the standard.</w:t>
      </w:r>
    </w:p>
    <w:p>
      <w:pPr>
        <w:spacing w:after="0" w:line="212" w:lineRule="exact"/>
        <w:rPr>
          <w:sz w:val="20"/>
          <w:szCs w:val="20"/>
          <w:color w:val="auto"/>
        </w:rPr>
      </w:pPr>
    </w:p>
    <w:p>
      <w:pPr>
        <w:ind w:right="2160"/>
        <w:spacing w:after="0" w:line="24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Measurement of Credit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Accounts Receivable and Contract Assets </w:t>
      </w:r>
      <w:r>
        <w:rPr>
          <w:rFonts w:ascii="Times New Roman" w:cs="Times New Roman" w:eastAsia="Times New Roman" w:hAnsi="Times New Roman"/>
          <w:sz w:val="18"/>
          <w:szCs w:val="18"/>
          <w:color w:val="auto"/>
        </w:rPr>
        <w:t>(Topic 326). The update permits entities to elect a practical expedient for estimating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on current trade receivables and current contract assets by assuming that conditions existing at the balance sheet date will remain unchanged over the life of those assets. The updated standard is effective for fiscal years beginning after December 15, 2025, including interim periods within those fiscal years, with early adoption permitted. The Company is currently assessing the impact of the amendment to this standard on its consolidated financial statements.</w:t>
      </w:r>
    </w:p>
    <w:p>
      <w:pPr>
        <w:spacing w:after="0" w:line="211"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ASU 2024-03 is intended to improve disclosures about a public business entity's expenses and provide more detailed information to investors about the types of expenses in commonly presented expense captions. In January 2025, the FASB issued ASU No. 2025-01, </w:t>
      </w:r>
      <w:r>
        <w:rPr>
          <w:rFonts w:ascii="Times New Roman" w:cs="Times New Roman" w:eastAsia="Times New Roman" w:hAnsi="Times New Roman"/>
          <w:sz w:val="18"/>
          <w:szCs w:val="18"/>
          <w:i w:val="1"/>
          <w:iCs w:val="1"/>
          <w:color w:val="auto"/>
        </w:rPr>
        <w:t>Income Statement - 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 Expense Disaggregation Disclosures (Subtopic 220-40) Clarifying the Effective Date</w:t>
      </w:r>
      <w:r>
        <w:rPr>
          <w:rFonts w:ascii="Times New Roman" w:cs="Times New Roman" w:eastAsia="Times New Roman" w:hAnsi="Times New Roman"/>
          <w:sz w:val="18"/>
          <w:szCs w:val="18"/>
          <w:color w:val="auto"/>
        </w:rPr>
        <w:t>, which is intended to clarify the effective date of ASU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As clarified in ASU 2025-01, the new guidance is effective for annual reporting periods beginning after December 15, 2026 with early adoption permitted. While we anticipate that the adoption of this standard will require additional disclosures, the Company is currently assessing the impact of the amendment to this standard on its consolidated financial statements.</w:t>
      </w:r>
    </w:p>
    <w:p>
      <w:pPr>
        <w:spacing w:after="0" w:line="22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intended to enhance the transparency and decision usefulness of income tax disclosures. The amendments in this ASU are effective for the Company in fiscal 2026 on a prospective basis, with early adoption permitted. The Company is currently evaluating the potential impact of this guidance on its disclosures, but this standard update will not have an impact on the Company's results of operations or financial position.</w:t>
      </w:r>
    </w:p>
    <w:p>
      <w:pPr>
        <w:spacing w:after="0" w:line="19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This ASU covers a variety of codification topics, and the effective date for each amendment will be the date on which the SEC's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removal of that related disclosure from Regulation S-X or Regulation S-K becomes effective, with early adoption prohibited. For all entities within the scope of the affected Codification subtopics, if by June 30, 2027, the SEC has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removed the applicable requirement from Regulation S-X or Regulation S-K, the pending content of the associated amendment will be removed from the Codification and will not become effective for any entities. The Company will monitor the removal of various requirements from the current regulations to determine when to adopt the related amendments, but it does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anticipate that the adoption of the new guidance will have a material impact on the Company’s consolidated financial statements and related disclosures.</w:t>
      </w:r>
    </w:p>
    <w:p>
      <w:pPr>
        <w:spacing w:after="0" w:line="200" w:lineRule="exact"/>
        <w:rPr>
          <w:sz w:val="20"/>
          <w:szCs w:val="20"/>
          <w:color w:val="auto"/>
        </w:rPr>
      </w:pPr>
    </w:p>
    <w:p>
      <w:pPr>
        <w:spacing w:after="0" w:line="26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outstanding debt at October 3, 2025 or September 27,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have entered into an unsecured revolving credit facility with PNC Bank, National Association and Associated Bank, N.A. ("the Lending Group"). This credit facility consists of a $75 million Revolving Credit</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Facility among the Company, certain of the Company's subsidiaries, PNC Bank National Association, as lender and as administrative agent, and the other lender named therein (the "Credit Agreement" or "Revolver"). The Revolver provides for borrowing of up to an aggregate principal amount not to exceed $75,000 with a $50,000 accordion feature that gives the Company the option to increase the maximum financing availability (i.e., an aggregate borrowing amount of $125,000) subject to the conditions of the Credit Agreement and subject to the approval of the lenders. On July 15, 2021, the Company entered into a First Amendment to this credit facility that extended its expiration date from November 15, 2022, to July 15, 2026. Other key provisions of the credit facility remained as outlined above and the description herein is qualified in its entirety by the terms and conditions of the original Debt Agreement (a copy of which was filed as Exhibit 99.1 to the current report on Form 8-K dated and filed with the Securities and Exchange Commission on November 20, 2017) and the Amendment (a copy of which was filed as Exhibit 10.1 to the current report on Form 8-K dated and filed with the Securities and Exchange Commission on July 16, 2021).</w:t>
      </w:r>
    </w:p>
    <w:p>
      <w:pPr>
        <w:spacing w:after="0" w:line="2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29, 2025, the Company entered into a Second Amendment to this credit facility that reduced the Revolver to $50,000 (but maintained the accordion feature) and modified the terms of the Credit Agreement as disclosed below for the period from the amendment date until the earlier of (1) the Company’s compliance with both a 3.00x maximum leverage ratio and a 3.50x minimum interest coverage ratio for the trailing twelve month period or (2) delivery of the Company’s fiscal 2025 financial statements and compliance certificate (the “Second Amendment Period”):</w:t>
      </w:r>
    </w:p>
    <w:p>
      <w:pPr>
        <w:spacing w:after="0" w:line="228"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suspension of application of the maximum leverage and minimum interest coverage ratios during the Second Amendment Period;</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must maintain a $50,000 minimum cash balance;</w:t>
      </w:r>
    </w:p>
    <w:p>
      <w:pPr>
        <w:spacing w:after="0" w:line="29" w:lineRule="exact"/>
        <w:rPr>
          <w:rFonts w:ascii="Times New Roman" w:cs="Times New Roman" w:eastAsia="Times New Roman" w:hAnsi="Times New Roman"/>
          <w:sz w:val="18"/>
          <w:szCs w:val="18"/>
          <w:color w:val="auto"/>
        </w:rPr>
      </w:pPr>
    </w:p>
    <w:p>
      <w:pPr>
        <w:ind w:left="1300" w:right="120" w:hanging="320"/>
        <w:spacing w:after="0" w:line="234" w:lineRule="auto"/>
        <w:tabs>
          <w:tab w:leader="none" w:pos="129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acquisition, dividends, repurchases and distributions permitted, provided the Company and its subsidiaries maintain a $50,000 minimum cash balance;</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monthly financial reporting if the facility availability is less than or equal to 95%; and</w:t>
      </w:r>
    </w:p>
    <w:p>
      <w:pPr>
        <w:spacing w:after="0" w:line="1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granting of a security interest in the Company’s personal property assets if the facility availability is less than or equal to 95%.</w:t>
      </w:r>
    </w:p>
    <w:p>
      <w:pPr>
        <w:spacing w:after="0" w:line="21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Other key provisions of the credit facility remained as outlined herein and the description herein is qualified in its entirety by the terms and conditions of the original Credit Agreement (a copy of which was filed as Exhibit 99.1 to the current report on Form 8-K dated and filed with the Securities and Exchange Commission on November 20, 2017), the First Amendment, (a copy of which was filed as Exhibit 10.1 to the current report on Form 8-K dated and filed with the Securities and Exchange Commission on July 16, 2021), and the aforementioned Second Amendment (a copy of which was filed as Exhibit 10.1 to the quarterly report on Form 10-Q dated and filed with the Securities and Exchange Commission on February 3, 2025).</w:t>
      </w:r>
    </w:p>
    <w:p>
      <w:pPr>
        <w:spacing w:after="0" w:line="2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interest rate on the Revolver is based on the Secured Overnight Financing Rate ("SOFR") plus an applicable margin, which margin resets each quarter. The applicable margin ranges from 1.00% to 1.75% and is dependent on the Company's leverage ratio for the trailing twelve month period. The interest rates on the Revolver were approximately 5.2% at October 3, 2025 and 6.0% at September 27, 2024.</w:t>
      </w:r>
    </w:p>
    <w:p>
      <w:pPr>
        <w:spacing w:after="0" w:line="2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Credit Agreement restricts the Company's ability to incur additional debt, includes maximum leverage ratio and minimum interest coverage ratio covenants and is unsecured.</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Subsequent to year-end, effective as of December 9, 2025, the Company entered into a Second Amended and Restated Credit Agreement with its lenders. A description of the terms of the new revolving credit facility is set forth under Item 9B of the Company’s Form 10-K for the fiscal year ending October 3,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Borrowings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utilizes letters of credit primarily as security for the payment of future claims under its workers’ compensation insurance which totaled $67 and $67 at October 3, 2025 and September 27, 2024, respectively. The Company had no other unsecured lines of credit as of October 3, 2025 or September 27, 2024.</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Company’s Credit Agreement, a change in control of the Company would constitute an event of default. A change in control would be deemed to have occurred if, among other events described in the terms of the Credit Agreement, a person or group other than the Company’s Chief Executive Officer, Helen P. Johnson-Leipold, members of her family and related entities (hereinafter the Johnson Family) became or obtained rights as a beneficial owner (as interpreted under the Securities Exchange Act of 1934) of a certain minimum percentage of the outstanding capital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has been established based on three levels of inputs, of which the first two are considered observable and the last unobservable.</w:t>
      </w:r>
    </w:p>
    <w:p>
      <w:pPr>
        <w:spacing w:after="0" w:line="207" w:lineRule="exact"/>
        <w:rPr>
          <w:sz w:val="20"/>
          <w:szCs w:val="20"/>
          <w:color w:val="auto"/>
        </w:rPr>
      </w:pPr>
    </w:p>
    <w:p>
      <w:pPr>
        <w:ind w:left="500" w:right="420" w:hanging="330"/>
        <w:spacing w:after="0" w:line="282"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These are typically obtained from real-time quotes for transactions in active exchange markets involving identical assets.</w:t>
      </w:r>
    </w:p>
    <w:p>
      <w:pPr>
        <w:spacing w:after="0" w:line="188" w:lineRule="exact"/>
        <w:rPr>
          <w:rFonts w:ascii="Times New Roman" w:cs="Times New Roman" w:eastAsia="Times New Roman" w:hAnsi="Times New Roman"/>
          <w:sz w:val="18"/>
          <w:szCs w:val="18"/>
          <w:color w:val="auto"/>
        </w:rPr>
      </w:pPr>
    </w:p>
    <w:p>
      <w:pPr>
        <w:ind w:left="500" w:right="180" w:hanging="330"/>
        <w:spacing w:after="0" w:line="282"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which are observable for the asset or liability, either directly or indirectly. These are typically obtained from readily-available pricing sources for comparable instruments.</w:t>
      </w:r>
    </w:p>
    <w:p>
      <w:pPr>
        <w:spacing w:after="0" w:line="188" w:lineRule="exact"/>
        <w:rPr>
          <w:rFonts w:ascii="Times New Roman" w:cs="Times New Roman" w:eastAsia="Times New Roman" w:hAnsi="Times New Roman"/>
          <w:sz w:val="18"/>
          <w:szCs w:val="18"/>
          <w:color w:val="auto"/>
        </w:rPr>
      </w:pPr>
    </w:p>
    <w:p>
      <w:pPr>
        <w:ind w:left="500" w:right="440" w:hanging="330"/>
        <w:spacing w:after="0" w:line="266"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where there is little or no market activity for the asset or liability. These inputs reflect the reporting entity’s own assumptions of the data that market participants would use in pricing the asset or liability, based on the best information available in the circumstances.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accounts receivable and accounts payable approximate fair value because of the short-term maturity of those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as of October 3, 2025:</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40" w:type="dxa"/>
            <w:vAlign w:val="bottom"/>
            <w:tcBorders>
              <w:top w:val="single" w:sz="8" w:color="auto"/>
              <w:bottom w:val="single" w:sz="8" w:color="auto"/>
            </w:tcBorders>
          </w:tcPr>
          <w:p>
            <w:pPr>
              <w:spacing w:after="0"/>
              <w:rPr>
                <w:sz w:val="22"/>
                <w:szCs w:val="22"/>
                <w:color w:val="auto"/>
              </w:rPr>
            </w:pPr>
          </w:p>
        </w:tc>
        <w:tc>
          <w:tcPr>
            <w:tcW w:w="2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Rabbi trust assets</w:t>
            </w:r>
          </w:p>
        </w:tc>
        <w:tc>
          <w:tcPr>
            <w:tcW w:w="2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30,680</w:t>
            </w:r>
          </w:p>
        </w:tc>
      </w:tr>
      <w:tr>
        <w:trPr>
          <w:trHeight w:val="229"/>
        </w:trPr>
        <w:tc>
          <w:tcPr>
            <w:tcW w:w="3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30,680</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as of September 27, 2024:</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40" w:type="dxa"/>
            <w:vAlign w:val="bottom"/>
            <w:tcBorders>
              <w:top w:val="single" w:sz="8" w:color="auto"/>
              <w:bottom w:val="single" w:sz="8" w:color="auto"/>
            </w:tcBorders>
          </w:tcPr>
          <w:p>
            <w:pPr>
              <w:spacing w:after="0"/>
              <w:rPr>
                <w:sz w:val="22"/>
                <w:szCs w:val="22"/>
                <w:color w:val="auto"/>
              </w:rPr>
            </w:pPr>
          </w:p>
        </w:tc>
        <w:tc>
          <w:tcPr>
            <w:tcW w:w="2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Rabbi trust assets</w:t>
            </w:r>
          </w:p>
        </w:tc>
        <w:tc>
          <w:tcPr>
            <w:tcW w:w="2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29,059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w:t>
            </w:r>
          </w:p>
        </w:tc>
      </w:tr>
      <w:tr>
        <w:trPr>
          <w:trHeight w:val="230"/>
        </w:trPr>
        <w:tc>
          <w:tcPr>
            <w:tcW w:w="3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16,541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16,541</w:t>
            </w:r>
          </w:p>
        </w:tc>
      </w:tr>
      <w:tr>
        <w:trPr>
          <w:trHeight w:val="248"/>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29,059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Rabbi trust assets are classified as trading securities and are comprised of marketable debt and equity securities that are marked to fair value based on unadjusted quoted prices in active markets. The rabbi trust assets are owed by the Company to certain officers and other employees under the Company’s non-qualified deferred compensation plan. These assets are included in "Other assets" in the Company's Consolidated Balance Sheets, and the mark-to-market adjustments on the assets are recorded in “Other income, net” in the accompanying Consolidated Statements of Operations. The offsetting deferred compensation liability is also reported at fair value and is included in “Deferred compensation liability” in the Company’s Consolidated Balance Sheets. Changes in the liability are recorded in "Administrative management, finance and information systems" expense in the accompanying Consolidated Statements of Operations.</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Marketable securities are classified as available-for-sale, with fair values determined using significant other observable inputs, which include quoted prices in markets that are not active, quoted prices of similar securities, recently executed transactions, broker quotations, and other inputs that are observable.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changes in the fair value of financial instruments on the Consolidated Statements of Operations for the years ended October 3,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2024 and September 29, 2023 was:</w:t>
      </w:r>
    </w:p>
    <w:p>
      <w:pPr>
        <w:sectPr>
          <w:pgSz w:w="11900" w:h="16838" w:orient="portrait"/>
          <w:cols w:equalWidth="0" w:num="1">
            <w:col w:w="11240"/>
          </w:cols>
          <w:pgMar w:left="320" w:top="119" w:right="339" w:bottom="1440" w:gutter="0" w:footer="0" w:header="0"/>
        </w:sectPr>
      </w:pPr>
    </w:p>
    <w:p>
      <w:pPr>
        <w:spacing w:after="0" w:line="342"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Location of income recognized in</w:t>
      </w:r>
    </w:p>
    <w:p>
      <w:pPr>
        <w:ind w:left="4580"/>
        <w:spacing w:after="0" w:line="219" w:lineRule="auto"/>
        <w:rPr>
          <w:sz w:val="20"/>
          <w:szCs w:val="20"/>
          <w:color w:val="auto"/>
        </w:rPr>
      </w:pPr>
      <w:r>
        <w:rPr>
          <w:rFonts w:ascii="Times New Roman" w:cs="Times New Roman" w:eastAsia="Times New Roman" w:hAnsi="Times New Roman"/>
          <w:sz w:val="18"/>
          <w:szCs w:val="18"/>
          <w:color w:val="auto"/>
        </w:rPr>
        <w:t>Statement of</w:t>
      </w:r>
    </w:p>
    <w:tbl>
      <w:tblPr>
        <w:tblLayout w:type="fixed"/>
        <w:tblInd w:w="0" w:type="dxa"/>
        <w:tblCellMar>
          <w:top w:w="0" w:type="dxa"/>
          <w:left w:w="0" w:type="dxa"/>
          <w:bottom w:w="0" w:type="dxa"/>
          <w:right w:w="0" w:type="dxa"/>
        </w:tblCellMar>
      </w:tblPr>
      <w:tr>
        <w:trPr>
          <w:trHeight w:val="221"/>
        </w:trPr>
        <w:tc>
          <w:tcPr>
            <w:tcW w:w="294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Operations</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254"/>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 assets</w:t>
            </w:r>
          </w:p>
        </w:tc>
        <w:tc>
          <w:tcPr>
            <w:tcW w:w="4040" w:type="dxa"/>
            <w:vAlign w:val="bottom"/>
            <w:tcBorders>
              <w:bottom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periods subsequent to their initial recognition. No assets or liabilities were measured at fair value on a non-recurring basis in 2025, 2024, or 2023.</w:t>
      </w:r>
    </w:p>
    <w:p>
      <w:pPr>
        <w:spacing w:after="0" w:line="200" w:lineRule="exact"/>
        <w:rPr>
          <w:sz w:val="20"/>
          <w:szCs w:val="20"/>
          <w:color w:val="auto"/>
        </w:rPr>
      </w:pPr>
    </w:p>
    <w:p>
      <w:pPr>
        <w:spacing w:after="0" w:line="22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leases certain facilities and machinery and equipment under long-term, non-cancelable operating leases. As an ongoing accounting policy election under Topic 842, the Company excludes short-term leases (terms of 12 months or less) from the balance sheet presentation and accounts for non-lease and lease components in a contract as a single lease component for most asset classes. All leases in which the Company is the lessee are classified as operating leases, and the Company does not have any finance leases or sublease agreements. Additionally, the Company does not have any leases in which it is the lessor.</w:t>
      </w:r>
    </w:p>
    <w:p>
      <w:pPr>
        <w:spacing w:after="0" w:line="2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October 3, 2025, the Company had approximately 200 leases, with remaining terms ranging from less than one year to 16 years. Some of the leases contain variable payment terms, such as payments based on fluctuations in the Consumer Price Index (CPI). Variable lease payments are expensed in the period in which the obligation for those payments was incurred. Some leases also contain options to extend or terminate the lease. To the extent the Company is reasonably certain to exercise these options, they have been considered in the calculation of the right-of-use ("ROU") assets and lease liabilities. Under current lease agreements, there are no residual value guarantees or restrictive lease covenants. In calculating the ROU assets and lease liabilities, several assumptions and judgments were made by the Company, including whether a contract is or contains a lease under the new definition, and the determination of the discount rate, which is assumed to be the incremental borrowing rate. The incremental borrowing rate is derived from information available to the Company at the lease commencement date based on lease length and location.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2025, the components of lease expense recognized in the accompanying Consolidated Statements of Operations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48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Year ended</w:t>
            </w:r>
          </w:p>
        </w:tc>
        <w:tc>
          <w:tcPr>
            <w:tcW w:w="6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Year ended</w:t>
            </w:r>
          </w:p>
        </w:tc>
        <w:tc>
          <w:tcPr>
            <w:tcW w:w="44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2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October 3, 2025</w:t>
            </w: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September 27, 2024</w:t>
            </w:r>
          </w:p>
        </w:tc>
        <w:tc>
          <w:tcPr>
            <w:tcW w:w="4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September 29, 2023</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costs</w:t>
            </w:r>
          </w:p>
        </w:tc>
        <w:tc>
          <w:tcPr>
            <w:tcW w:w="256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10,780</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9,889</w:t>
            </w:r>
          </w:p>
        </w:tc>
        <w:tc>
          <w:tcPr>
            <w:tcW w:w="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r>
      <w:tr>
        <w:trPr>
          <w:trHeight w:val="229"/>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lease costs</w:t>
            </w:r>
          </w:p>
        </w:tc>
        <w:tc>
          <w:tcPr>
            <w:tcW w:w="256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2,188</w:t>
            </w:r>
          </w:p>
        </w:tc>
        <w:tc>
          <w:tcPr>
            <w:tcW w:w="420" w:type="dxa"/>
            <w:vAlign w:val="bottom"/>
          </w:tcPr>
          <w:p>
            <w:pPr>
              <w:spacing w:after="0"/>
              <w:rPr>
                <w:sz w:val="19"/>
                <w:szCs w:val="19"/>
                <w:color w:val="auto"/>
              </w:rPr>
            </w:pPr>
          </w:p>
        </w:tc>
        <w:tc>
          <w:tcPr>
            <w:tcW w:w="2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2,393</w:t>
            </w:r>
          </w:p>
        </w:tc>
        <w:tc>
          <w:tcPr>
            <w:tcW w:w="4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30"/>
        </w:trPr>
        <w:tc>
          <w:tcPr>
            <w:tcW w:w="2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leases costs</w:t>
            </w:r>
          </w:p>
        </w:tc>
        <w:tc>
          <w:tcPr>
            <w:tcW w:w="25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w:t>
            </w:r>
          </w:p>
        </w:tc>
        <w:tc>
          <w:tcPr>
            <w:tcW w:w="42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4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560" w:type="dxa"/>
            <w:vAlign w:val="bottom"/>
            <w:tcBorders>
              <w:bottom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13,175</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12,454</w:t>
            </w:r>
          </w:p>
        </w:tc>
        <w:tc>
          <w:tcPr>
            <w:tcW w:w="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12,483</w:t>
            </w: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Included in the amounts in the table above was rent expense to related parties of $1,278, $1,255 and $1,255, for the years ended October 3, 2025 September 27, 2024, and September 29, 2023, respectively.</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October 3, 2025 and September 27, 2024, the Company did not have any finance leases. While the Company extended or renewed various existing leases during the year, there were no significant new leases entered into during the year ended October 3, 2025. As of October 3, 2025, the Company did not have any significant operating lease commitments that have not yet commenced.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cash flow, and other information related to operating leases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Year ended</w:t>
            </w:r>
          </w:p>
        </w:tc>
        <w:tc>
          <w:tcPr>
            <w:tcW w:w="26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0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October 3, 2025</w:t>
            </w: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September 27, 2024</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70"/>
        </w:trPr>
        <w:tc>
          <w:tcPr>
            <w:tcW w:w="6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55"/>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46,570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47,547</w:t>
            </w: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operating leases liabilities</w:t>
            </w:r>
          </w:p>
        </w:tc>
        <w:tc>
          <w:tcPr>
            <w:tcW w:w="1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8,260</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7,528</w:t>
            </w:r>
          </w:p>
        </w:tc>
      </w:tr>
      <w:tr>
        <w:trPr>
          <w:trHeight w:val="230"/>
        </w:trPr>
        <w:tc>
          <w:tcPr>
            <w:tcW w:w="6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40,424</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41,806</w:t>
            </w:r>
          </w:p>
        </w:tc>
      </w:tr>
      <w:tr>
        <w:trPr>
          <w:trHeight w:val="248"/>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48,684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49,334</w:t>
            </w: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70"/>
        </w:trPr>
        <w:tc>
          <w:tcPr>
            <w:tcW w:w="6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3.38 %</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70"/>
        </w:trPr>
        <w:tc>
          <w:tcPr>
            <w:tcW w:w="6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10,106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9,194</w:t>
            </w:r>
          </w:p>
        </w:tc>
      </w:tr>
      <w:tr>
        <w:trPr>
          <w:trHeight w:val="270"/>
        </w:trPr>
        <w:tc>
          <w:tcPr>
            <w:tcW w:w="6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8,123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3,906</w:t>
            </w:r>
          </w:p>
        </w:tc>
      </w:tr>
    </w:tbl>
    <w:p>
      <w:pPr>
        <w:spacing w:after="0" w:line="3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Future minimum rental commitments under non-cancelable operating leases with an initial lease term in excess of one year at October 3, 2025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Related parties included</w:t>
            </w:r>
          </w:p>
        </w:tc>
        <w:tc>
          <w:tcPr>
            <w:tcW w:w="6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5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in total</w:t>
            </w:r>
          </w:p>
        </w:tc>
        <w:tc>
          <w:tcPr>
            <w:tcW w:w="6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0" w:type="dxa"/>
            <w:vAlign w:val="bottom"/>
          </w:tcPr>
          <w:p>
            <w:pPr>
              <w:spacing w:after="0"/>
              <w:rPr>
                <w:sz w:val="19"/>
                <w:szCs w:val="19"/>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6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0" w:type="dxa"/>
            <w:vAlign w:val="bottom"/>
          </w:tcPr>
          <w:p>
            <w:pPr>
              <w:spacing w:after="0"/>
              <w:rPr>
                <w:sz w:val="19"/>
                <w:szCs w:val="19"/>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26,538</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1,574</w:t>
            </w:r>
          </w:p>
        </w:tc>
        <w:tc>
          <w:tcPr>
            <w:tcW w:w="6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57,697</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w:t>
            </w:r>
          </w:p>
        </w:tc>
      </w:tr>
      <w:tr>
        <w:trPr>
          <w:trHeight w:val="24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liability</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1,559</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48,684</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and foreign income before income taxes for the respective years consisted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60" w:type="dxa"/>
            <w:vAlign w:val="bottom"/>
            <w:tcBorders>
              <w:top w:val="single" w:sz="8" w:color="auto"/>
              <w:bottom w:val="single" w:sz="8" w:color="auto"/>
            </w:tcBorders>
          </w:tcPr>
          <w:p>
            <w:pPr>
              <w:spacing w:after="0"/>
              <w:rPr>
                <w:sz w:val="22"/>
                <w:szCs w:val="22"/>
                <w:color w:val="auto"/>
              </w:rPr>
            </w:pPr>
          </w:p>
        </w:tc>
        <w:tc>
          <w:tcPr>
            <w:tcW w:w="3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w:t>
            </w:r>
          </w:p>
        </w:tc>
      </w:tr>
      <w:tr>
        <w:trPr>
          <w:trHeight w:val="236"/>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2,466</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2,698</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r>
      <w:tr>
        <w:trPr>
          <w:trHeight w:val="255"/>
        </w:trPr>
        <w:tc>
          <w:tcPr>
            <w:tcW w:w="3860" w:type="dxa"/>
            <w:vAlign w:val="bottom"/>
            <w:tcBorders>
              <w:bottom w:val="single" w:sz="8" w:color="auto"/>
            </w:tcBorders>
            <w:shd w:val="clear" w:color="auto" w:fill="CCEEFF"/>
          </w:tcPr>
          <w:p>
            <w:pPr>
              <w:spacing w:after="0"/>
              <w:rPr>
                <w:sz w:val="21"/>
                <w:szCs w:val="21"/>
                <w:color w:val="auto"/>
              </w:rPr>
            </w:pPr>
          </w:p>
        </w:tc>
        <w:tc>
          <w:tcPr>
            <w:tcW w:w="3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25,824</w:t>
            </w: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for the respective years consisted of the following:</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20" w:type="dxa"/>
            <w:vAlign w:val="bottom"/>
            <w:tcBorders>
              <w:top w:val="single" w:sz="8" w:color="auto"/>
              <w:bottom w:val="single" w:sz="8" w:color="auto"/>
            </w:tcBorders>
          </w:tcPr>
          <w:p>
            <w:pPr>
              <w:spacing w:after="0"/>
              <w:rPr>
                <w:sz w:val="22"/>
                <w:szCs w:val="22"/>
                <w:color w:val="auto"/>
              </w:rPr>
            </w:pPr>
          </w:p>
        </w:tc>
        <w:tc>
          <w:tcPr>
            <w:tcW w:w="3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7,631</w:t>
            </w: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19"/>
                <w:szCs w:val="19"/>
                <w:color w:val="auto"/>
              </w:rPr>
            </w:pPr>
          </w:p>
        </w:tc>
        <w:tc>
          <w:tcPr>
            <w:tcW w:w="1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2,267</w:t>
            </w: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3,286</w:t>
            </w:r>
          </w:p>
        </w:tc>
      </w:tr>
      <w:tr>
        <w:trPr>
          <w:trHeight w:val="23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20,630</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(6,894)</w:t>
            </w:r>
          </w:p>
        </w:tc>
      </w:tr>
      <w:tr>
        <w:trPr>
          <w:trHeight w:val="254"/>
        </w:trPr>
        <w:tc>
          <w:tcPr>
            <w:tcW w:w="3720" w:type="dxa"/>
            <w:vAlign w:val="bottom"/>
            <w:tcBorders>
              <w:bottom w:val="single" w:sz="8" w:color="auto"/>
            </w:tcBorders>
            <w:shd w:val="clear" w:color="auto" w:fill="CCEEFF"/>
          </w:tcPr>
          <w:p>
            <w:pPr>
              <w:spacing w:after="0"/>
              <w:rPr>
                <w:sz w:val="21"/>
                <w:szCs w:val="21"/>
                <w:color w:val="auto"/>
              </w:rPr>
            </w:pPr>
          </w:p>
        </w:tc>
        <w:tc>
          <w:tcPr>
            <w:tcW w:w="3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6,290</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deferred tax liabilities at the end of the respective years are presented below:</w:t>
      </w:r>
    </w:p>
    <w:tbl>
      <w:tblPr>
        <w:tblLayout w:type="fixed"/>
        <w:tblInd w:w="0" w:type="dxa"/>
        <w:tblCellMar>
          <w:top w:w="0" w:type="dxa"/>
          <w:left w:w="0" w:type="dxa"/>
          <w:bottom w:w="0" w:type="dxa"/>
          <w:right w:w="0" w:type="dxa"/>
        </w:tblCellMar>
      </w:tblPr>
      <w:tr>
        <w:trPr>
          <w:trHeight w:val="245"/>
        </w:trPr>
        <w:tc>
          <w:tcPr>
            <w:tcW w:w="570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29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w:t>
            </w: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9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29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r>
      <w:tr>
        <w:trPr>
          <w:trHeight w:val="236"/>
        </w:trPr>
        <w:tc>
          <w:tcPr>
            <w:tcW w:w="5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7,820</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9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52,653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45,260</w:t>
            </w:r>
          </w:p>
        </w:tc>
      </w:tr>
      <w:tr>
        <w:trPr>
          <w:trHeight w:val="237"/>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9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35,725</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9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16,928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9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9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37"/>
        </w:trPr>
        <w:tc>
          <w:tcPr>
            <w:tcW w:w="5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statutory reserves</w:t>
            </w:r>
          </w:p>
        </w:tc>
        <w:tc>
          <w:tcPr>
            <w:tcW w:w="29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9"/>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21,507</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The net deferred tax assets recorded in the accompanying Consolidated Balance Sheets as of the years ended October 3, 2025 and September 27, 2024 were as follows:</w:t>
      </w:r>
    </w:p>
    <w:tbl>
      <w:tblPr>
        <w:tblLayout w:type="fixed"/>
        <w:tblInd w:w="0" w:type="dxa"/>
        <w:tblCellMar>
          <w:top w:w="0" w:type="dxa"/>
          <w:left w:w="0" w:type="dxa"/>
          <w:bottom w:w="0" w:type="dxa"/>
          <w:right w:w="0" w:type="dxa"/>
        </w:tblCellMar>
      </w:tblPr>
      <w:tr>
        <w:trPr>
          <w:trHeight w:val="245"/>
        </w:trPr>
        <w:tc>
          <w:tcPr>
            <w:tcW w:w="4980" w:type="dxa"/>
            <w:vAlign w:val="bottom"/>
            <w:tcBorders>
              <w:top w:val="single" w:sz="8" w:color="auto"/>
              <w:bottom w:val="single" w:sz="8" w:color="auto"/>
            </w:tcBorders>
          </w:tcPr>
          <w:p>
            <w:pPr>
              <w:spacing w:after="0"/>
              <w:rPr>
                <w:sz w:val="21"/>
                <w:szCs w:val="21"/>
                <w:color w:val="auto"/>
              </w:rPr>
            </w:pPr>
          </w:p>
        </w:tc>
        <w:tc>
          <w:tcPr>
            <w:tcW w:w="4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2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3,074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w:t>
            </w:r>
          </w:p>
        </w:tc>
      </w:tr>
      <w:tr>
        <w:trPr>
          <w:trHeight w:val="237"/>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2,061</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55"/>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1,013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4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significant differences between the statutory federal tax rate and the effective income tax rates for the Company for the respective years shown below were as follows:</w:t>
      </w:r>
    </w:p>
    <w:p>
      <w:pPr>
        <w:spacing w:after="0" w:line="297"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460" w:type="dxa"/>
            <w:vAlign w:val="bottom"/>
            <w:tcBorders>
              <w:top w:val="single" w:sz="8" w:color="auto"/>
              <w:bottom w:val="single" w:sz="8" w:color="auto"/>
            </w:tcBorders>
          </w:tcPr>
          <w:p>
            <w:pPr>
              <w:spacing w:after="0"/>
              <w:rPr>
                <w:sz w:val="22"/>
                <w:szCs w:val="22"/>
                <w:color w:val="auto"/>
              </w:rPr>
            </w:pPr>
          </w:p>
        </w:tc>
        <w:tc>
          <w:tcPr>
            <w:tcW w:w="248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172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2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21.0 %</w:t>
            </w:r>
          </w:p>
        </w:tc>
        <w:tc>
          <w:tcPr>
            <w:tcW w:w="1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21.0 %</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4.6 %</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2.2 %</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 net of settlements</w:t>
            </w:r>
          </w:p>
        </w:tc>
        <w:tc>
          <w:tcPr>
            <w:tcW w:w="2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2.0 %</w:t>
            </w:r>
          </w:p>
        </w:tc>
        <w:tc>
          <w:tcPr>
            <w:tcW w:w="1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("FDII") deduction</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1.7 %</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differences</w:t>
            </w:r>
          </w:p>
        </w:tc>
        <w:tc>
          <w:tcPr>
            <w:tcW w:w="2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(4.6)%</w:t>
            </w:r>
          </w:p>
        </w:tc>
        <w:tc>
          <w:tcPr>
            <w:tcW w:w="1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(4.5)%</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(9.0)%</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(3.8)%</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related to prior years tax return filing</w:t>
            </w:r>
          </w:p>
        </w:tc>
        <w:tc>
          <w:tcPr>
            <w:tcW w:w="2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8.2 %</w:t>
            </w:r>
          </w:p>
        </w:tc>
        <w:tc>
          <w:tcPr>
            <w:tcW w:w="1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(0.2)%</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(7.3)%</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 valuation allowance</w:t>
            </w:r>
          </w:p>
        </w:tc>
        <w:tc>
          <w:tcPr>
            <w:tcW w:w="2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(294.4)%</w:t>
            </w:r>
          </w:p>
        </w:tc>
        <w:tc>
          <w:tcPr>
            <w:tcW w:w="1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3.5 %</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2.6 %</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1.6 %</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54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(269.6)%</w:t>
            </w:r>
          </w:p>
        </w:tc>
        <w:tc>
          <w:tcPr>
            <w:tcW w:w="1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11.1 %</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24.4 %</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considered both positive and negative evidence in evaluating the need for a valuation allowance relating to the deferred tax assets of the U.S. tax jurisdiction. Based on projections for the U.S. tax jurisdictions the Company determined that it was more likely than not that certain deferred tax assets will not be realized and a valuation allowance balance of $25,880 was reported against the net deferred tax assets for the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operating loss carryforwards and their expirations as of October 3, 2025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4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2"/>
                <w:szCs w:val="22"/>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of expiration</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2026-2030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13,874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40" w:type="dxa"/>
            <w:vAlign w:val="bottom"/>
            <w:tcBorders>
              <w:left w:val="single" w:sz="8" w:color="CCEEFF"/>
            </w:tcBorders>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26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1,946</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4,166</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2036-2040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5,263</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40" w:type="dxa"/>
            <w:vAlign w:val="bottom"/>
            <w:tcBorders>
              <w:left w:val="single" w:sz="8" w:color="CCEEFF"/>
            </w:tcBorders>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2041-2045</w:t>
            </w:r>
          </w:p>
        </w:tc>
        <w:tc>
          <w:tcPr>
            <w:tcW w:w="26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994</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40" w:type="dxa"/>
            <w:vAlign w:val="bottom"/>
          </w:tcPr>
          <w:p>
            <w:pPr>
              <w:spacing w:after="0"/>
              <w:rPr>
                <w:sz w:val="19"/>
                <w:szCs w:val="19"/>
                <w:color w:val="auto"/>
              </w:rPr>
            </w:pPr>
          </w:p>
        </w:tc>
      </w:tr>
      <w:tr>
        <w:trPr>
          <w:trHeight w:val="237"/>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Indefinite</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5,589</w:t>
            </w:r>
          </w:p>
        </w:tc>
        <w:tc>
          <w:tcPr>
            <w:tcW w:w="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23,361</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40" w:type="dxa"/>
            <w:vAlign w:val="bottom"/>
            <w:tcBorders>
              <w:left w:val="single" w:sz="8" w:color="CCEEFF"/>
            </w:tcBorders>
          </w:tcPr>
          <w:p>
            <w:pPr>
              <w:spacing w:after="0"/>
              <w:rPr>
                <w:sz w:val="20"/>
                <w:szCs w:val="20"/>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16,416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41,401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57,817</w:t>
            </w:r>
          </w:p>
        </w:tc>
        <w:tc>
          <w:tcPr>
            <w:tcW w:w="40" w:type="dxa"/>
            <w:vAlign w:val="bottom"/>
          </w:tcPr>
          <w:p>
            <w:pPr>
              <w:spacing w:after="0"/>
              <w:rPr>
                <w:sz w:val="19"/>
                <w:szCs w:val="19"/>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tax credit carryforwards as follows: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6"/>
        </w:trPr>
        <w:tc>
          <w:tcPr>
            <w:tcW w:w="67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of expiration</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2026-2030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40" w:type="dxa"/>
            <w:vAlign w:val="bottom"/>
            <w:tcBorders>
              <w:left w:val="single" w:sz="8" w:color="CCEEFF"/>
            </w:tcBorders>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26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2036-2040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Borders>
              <w:left w:val="single" w:sz="8" w:color="CCEEFF"/>
            </w:tcBorders>
          </w:tcPr>
          <w:p>
            <w:pPr>
              <w:spacing w:after="0"/>
              <w:rPr>
                <w:sz w:val="19"/>
                <w:szCs w:val="19"/>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2041-2045</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55"/>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40" w:type="dxa"/>
            <w:vAlign w:val="bottom"/>
            <w:tcBorders>
              <w:left w:val="single" w:sz="8" w:color="CCEEFF"/>
            </w:tcBorders>
          </w:tcPr>
          <w:p>
            <w:pPr>
              <w:spacing w:after="0"/>
              <w:rPr>
                <w:sz w:val="21"/>
                <w:szCs w:val="21"/>
                <w:color w:val="auto"/>
              </w:rPr>
            </w:pP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follows: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
        </w:trPr>
        <w:tc>
          <w:tcPr>
            <w:tcW w:w="6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6"/>
        </w:trPr>
        <w:tc>
          <w:tcPr>
            <w:tcW w:w="6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Pr>
          <w:p>
            <w:pPr>
              <w:spacing w:after="0"/>
              <w:rPr>
                <w:sz w:val="19"/>
                <w:szCs w:val="19"/>
                <w:color w:val="auto"/>
              </w:rPr>
            </w:pPr>
          </w:p>
        </w:tc>
        <w:tc>
          <w:tcPr>
            <w:tcW w:w="12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6,072</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7"/>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tcPr>
          <w:p>
            <w:pPr>
              <w:spacing w:after="0"/>
              <w:rPr>
                <w:sz w:val="20"/>
                <w:szCs w:val="20"/>
                <w:color w:val="auto"/>
              </w:rPr>
            </w:pPr>
          </w:p>
        </w:tc>
      </w:tr>
      <w:tr>
        <w:trPr>
          <w:trHeight w:val="22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5,842</w:t>
            </w: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40" w:type="dxa"/>
            <w:vAlign w:val="bottom"/>
          </w:tcPr>
          <w:p>
            <w:pPr>
              <w:spacing w:after="0"/>
              <w:rPr>
                <w:sz w:val="19"/>
                <w:szCs w:val="19"/>
                <w:color w:val="auto"/>
              </w:rPr>
            </w:pP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1"/>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9"/>
              </w:rPr>
              <w:t>F-25</w:t>
            </w:r>
          </w:p>
        </w:tc>
      </w:tr>
      <w:tr>
        <w:trPr>
          <w:trHeight w:val="115"/>
        </w:trPr>
        <w:tc>
          <w:tcPr>
            <w:tcW w:w="6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total accrued interest and penalties with respect to income taxes was $2,022 and $2,014 for the years ended October 3, 2025 and September 27, 2024, respectively. The Company’s liability for unrecognized tax benefits as of October 3, 2025 was $5,842, and if recognized, $4,934 of such amount would have an effective tax rate impact.</w:t>
      </w:r>
    </w:p>
    <w:p>
      <w:pPr>
        <w:spacing w:after="0" w:line="20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accordance with its accounting policy, the Company recognizes accrued interest and penalties related to unrecognized tax benefits as a component of income tax expense. Interest and penalties of $8, $101 and $47 were recorded as a component of income tax expense in the accompanying Consolidated Statements of Operations during fiscal years 2025, 2024 and 2023, respectively.</w:t>
      </w:r>
    </w:p>
    <w:p>
      <w:pPr>
        <w:spacing w:after="0" w:line="20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Company’s policy is to remit earnings from foreign subsidiaries only to the extent the remittance does not result in an incremental U.S. tax liability. The Company does not currently provide for the additional U.S. and foreign income taxes which would become payable upon remission of undistributed earnings of foreign subsidiaries. If all undistributed earnings were remitted, an additional income tax provision of approximately $6.1 million would have been necessary as of October 3, 2025.</w:t>
      </w:r>
    </w:p>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including returns for its subsidiaries, with federal, state, local and foreign taxing jurisdictions. The amount of unrecognized tax benefits recognized within the next twelve months may decrease due to expiration of the statute of limitations for certain years in various jurisdictions. The Company is under examination in Germany for fiscal years 2018, 2019, 2020, and 2021 with anticipated completion next fiscal year with no material adjustments. It is possible in the future that other jurisdictions may open an audit prior to the statute expiring that may result in adjustments to the Company’s tax filings. At this time, an estimate of the range of the reasonably possible change cannot be made.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tax years remain subject to examination by the Company's respective major tax jurisdictions: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Jurisdiction</w:t>
            </w:r>
          </w:p>
        </w:tc>
        <w:tc>
          <w:tcPr>
            <w:tcW w:w="7920" w:type="dxa"/>
            <w:vAlign w:val="bottom"/>
            <w:tcBorders>
              <w:top w:val="single" w:sz="8" w:color="auto"/>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Fiscal Years</w:t>
            </w: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9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2022-2025</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9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2021-2025</w:t>
            </w: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9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2021-2025</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79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2019-2025</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79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2023-2025</w:t>
            </w:r>
          </w:p>
        </w:tc>
      </w:tr>
      <w:tr>
        <w:trPr>
          <w:trHeight w:val="236"/>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792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2015-2025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4, 2025, the One Big Beautiful Bill (OBBB) Act, which includes a broad range of tax reform provisions, was signed into law 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it will have a significant impact on its estimated annual effective tax rate.</w:t>
      </w:r>
    </w:p>
    <w:p>
      <w:pPr>
        <w:spacing w:after="0" w:line="200" w:lineRule="exact"/>
        <w:rPr>
          <w:sz w:val="20"/>
          <w:szCs w:val="20"/>
          <w:color w:val="auto"/>
        </w:rPr>
      </w:pPr>
    </w:p>
    <w:p>
      <w:pPr>
        <w:spacing w:after="0" w:line="2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 majority of the Company’s full-time employees are covered by defined contribution programs. Expenses attributable to the defined contribution programs were approximately $2,136, $2,187 and $2,190 for 2025, 2024 and 2023, respectively.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has a non-qualified deferred compensation plan that provides certain officers and employees the ability to defer a portion of their compensation until a later date. The deferred amounts and earnings thereon are payable to participants, or designated beneficiaries, at specified future dates upon retirement, death or termination of employment from the Company. The deferred compensation liability, which is reported at fair value equal to the related rabbi trust assets, and is classified as “Deferred compensation liability” on our accompanying Consolidated Balance Sheets, was approximately $30,681 and $29,092 as of October 3, 2025 and September 27, 2024, respectively. See “Note 4 Fair Value Measurements” for additional information.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PREFERRED STOCK</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in various classes and series, of which there are none currently issued and none outstanding.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authorized and outstanding shares of each class of the Company’s common stock at the end of the respective years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320" w:type="dxa"/>
            <w:vAlign w:val="bottom"/>
            <w:tcBorders>
              <w:top w:val="single" w:sz="8" w:color="auto"/>
              <w:bottom w:val="single" w:sz="8" w:color="auto"/>
            </w:tcBorders>
          </w:tcPr>
          <w:p>
            <w:pPr>
              <w:spacing w:after="0"/>
              <w:rPr>
                <w:sz w:val="22"/>
                <w:szCs w:val="22"/>
                <w:color w:val="auto"/>
              </w:rPr>
            </w:pPr>
          </w:p>
        </w:tc>
        <w:tc>
          <w:tcPr>
            <w:tcW w:w="466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$0.05 par value:</w:t>
            </w:r>
          </w:p>
        </w:tc>
        <w:tc>
          <w:tcPr>
            <w:tcW w:w="4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w:t>
            </w:r>
          </w:p>
        </w:tc>
        <w:tc>
          <w:tcPr>
            <w:tcW w:w="4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20,000,000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46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9,166,621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9,093,978</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$0.05 par value:</w:t>
            </w:r>
          </w:p>
        </w:tc>
        <w:tc>
          <w:tcPr>
            <w:tcW w:w="46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Authorized</w:t>
            </w:r>
          </w:p>
        </w:tc>
        <w:tc>
          <w:tcPr>
            <w:tcW w:w="46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3,000,000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29"/>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4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1,206,210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1,207,760</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Holders of Class A common stock are entitled to elect 25%, or the next highest whole number, of the members of the Company’s Board of Directors and holders of Class B common stock are entitled to elect the remaining directors. With respect to matters other than the election of directors or any matters for which class voting is required by law, holders of Class A common stock are entitled to one vote per share while holders of Class B common stock are entitled to ten votes per share. If any dividends (other than dividends paid in shares of the Company’s stock) are paid by the Company on its common stock, a dividend would be paid on each share of Class A common stock equal to 110% of the amount paid on each share of Class B common stock. Each share of Class B common stock is convertible at any time into one share of Class A common stock. During 2025 and 2024 there were 1,550 and 0 shares of Class B common stock converted into Class A common stock, respectively.</w:t>
      </w:r>
    </w:p>
    <w:p>
      <w:pPr>
        <w:spacing w:after="0" w:line="200" w:lineRule="exact"/>
        <w:rPr>
          <w:sz w:val="20"/>
          <w:szCs w:val="20"/>
          <w:color w:val="auto"/>
        </w:rPr>
      </w:pPr>
    </w:p>
    <w:p>
      <w:pPr>
        <w:spacing w:after="0" w:line="25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STOCK-BASED COMPENSATION AND STOCK OWNERSHIP PLANS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current stock ownership plans provide for issuance of options to acquire shares of Class A common stock by key executives and non-employee directors. Current plans also allow for issuance of shares of restricted stock, restricted stock units or stock appreciation rights in lieu of options.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Company’s 2023 Non-Employee Director Stock Ownership Plan and the 2020 Long-Term Incentive Plan (the only plans where shares currently remain available for future equity incentive awards) there were a total of 284,109 shares of the Company’s Class A common stock available for grant to key executives and non-employee directors at October 3, 2025. Share awards previously made under the Company's 2010 Long-Term Stock Incentive Plan and 2012 Non-Employee Director Stock Ownership Plan, which no longer allow for additional share grants, also remain outstanding.</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additional tax expense of $207 and $351, and $95 for 2025, 2024, and 2023, respectively, from the vesting of restricted stock and restricted stock units. These amounts were recorded as a component of income tax (benefit) expense. The Company recognizes forfeitures of non-vested equity awards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Stock</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All outstanding shares of non-vested stock awarded by the Company have been granted at their fair market value on the date of grant and vest within five years after the grant date. The fair value at date of grant is based on the number of shares granted and the average of the Company’s high and low Class A common stock price on the date of grant or, if the Company’s shares did not trade on the date of grant, the average of the Company’s high and low Class A common stock price on the last preceding date on which the Company’s shares traded.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stock activity for the two year period ended October 3, 2025 related to the Company’s stock ownership plans is as follows: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50"/>
        </w:trPr>
        <w:tc>
          <w:tcPr>
            <w:tcW w:w="584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Grant Price</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at September 29, 2023</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grants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vested</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36"/>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stock forfeited</w:t>
            </w:r>
          </w:p>
        </w:tc>
        <w:tc>
          <w:tcPr>
            <w:tcW w:w="3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62.36</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at September 27, 2024</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grants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vested</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r>
      <w:tr>
        <w:trPr>
          <w:trHeight w:val="236"/>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stock forfeited</w:t>
            </w:r>
          </w:p>
        </w:tc>
        <w:tc>
          <w:tcPr>
            <w:tcW w:w="3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r>
      <w:tr>
        <w:trPr>
          <w:trHeight w:val="255"/>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October 3, 2025</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92,894</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0"/>
        </w:trPr>
        <w:tc>
          <w:tcPr>
            <w:tcW w:w="5840" w:type="dxa"/>
            <w:vAlign w:val="bottom"/>
            <w:tcBorders>
              <w:top w:val="single" w:sz="8" w:color="CCEEFF"/>
              <w:bottom w:val="single" w:sz="8" w:color="auto"/>
            </w:tcBorders>
          </w:tcPr>
          <w:p>
            <w:pPr>
              <w:spacing w:after="0" w:line="20" w:lineRule="exact"/>
              <w:rPr>
                <w:sz w:val="1"/>
                <w:szCs w:val="1"/>
                <w:color w:val="auto"/>
              </w:rPr>
            </w:pPr>
          </w:p>
        </w:tc>
        <w:tc>
          <w:tcPr>
            <w:tcW w:w="3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Non-vested stock grantees may elect to reimburse the Company for withholding taxes due as a result of the vesting of shares by tendering a portion of the vested shares back to the Company. Shares tendered back to the Company were 2,417 and 7,744 during 2025 and 2024, respectively. The fair value of restricted stock vested during 2025, 2024 and 2023 was approximately $803, $1,562 and $909, respectively.</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Stock compensation expense, net of forfeitures, related to non-vested stock was $1,739, $1,690 and $1,612 during 2025, 2024 and 2023, respectively. The tax benefit recognized during 2025, 2024 and 2023 related to stock based compensation was $422, $410 and $390, respectively. Unrecognized compensation cost related to non-vested stock as of October 3, 2025 was $1,646, which amount will be amortized to expense through November 2027 or adjusted for changes in future estimated or actual forfeitures.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restricted stock units awarded by the Company during fiscal 2025 and in prior years have been granted at their fair market value on the date of grant. The fair value at date of grant is based on the number of units granted and the average of the Company’s high and low Class A common stock trading price on the date of grant or, if the Company’s shares did not trade on the date of grant, the average of the Company’s high and low Class A common stock trading price on the last preceding date on which the Company’s shares traded. The vesting period for RSUs is generally one year from the date of grant for RSUs granted to directors and three years from the date of the grant for RSUs granted to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50"/>
        </w:trPr>
        <w:tc>
          <w:tcPr>
            <w:tcW w:w="66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RSUs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Grant Price</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at September 29, 2023</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68,244</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r>
      <w:tr>
        <w:trPr>
          <w:trHeight w:val="237"/>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at September 27, 2024</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 and canceled due to performance targets not being met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r>
      <w:tr>
        <w:trPr>
          <w:trHeight w:val="237"/>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r>
      <w:tr>
        <w:trPr>
          <w:trHeight w:val="254"/>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at October 3, 2025</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121,253</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r>
      <w:tr>
        <w:trPr>
          <w:trHeight w:val="20"/>
        </w:trPr>
        <w:tc>
          <w:tcPr>
            <w:tcW w:w="66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RSU grantees may elect to reimburse the Company for withholding taxes due as a result of the vesting of units and issuance of unrestricted shares of Class A common stock by tendering a portion of such unrestricted shares back to the Company. Shares tendered back to the Company were 0 and 2,331 during 2025 and 2024, respectively. The fair value of restricted stock units vested during 2025, 2024 and 2023 was approximately $0, $1,171 and $2,247, respectively.</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Stock compensation (benefit) expense, net of forfeitures, related to restricted stock units was $(324), $(503) and $732 for the years ended October 3, 2025, September 27, 2024 and September 29, 2023, respectively. The tax expense recognized during 2025 and 2024 related to restricted stock unit based compensation was $28 and $43, respectively, and a benefit of $462 was</w:t>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in 2023. Unrecognized compensation cost related to non-vested restricted stock units as of October 3, 2025 was $482.</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the fiscal years covered herein, compensation expense related to units earned by certain employees is based upon the attainment of certain financial goals related to cumulative net sales and cumulative operating profit over a three-year performance period. Awards are only paid if at least 80% of the target levels are met and maximum payouts are made if 120% of more of target levels are achieved. The payouts for achievement at the minimum threshold levels of performance are equal to 50% of the target award amount. The payouts for achievement at maximum levels of performance are equal to 200% of the target award amount for awards made with respect to the fiscal 2025 - 2027 performance period and 150% for awards made with respect to earlier performance periods. To the extent earned, awards are issued in shares of Company common stock after the end of the three year performance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Stock Purchase Plan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2009 Employees’ Stock Purchase Plan (the “Purchase Plan”) formerly provided for the issuance of shares of Class A common stock at a purchase price of not less than 85% of the fair market value of such shares on the date of grant or at the end of the offering period, whichever is lower. The Company terminated the Purchase Plan effective as of May 9, 2025.</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issued 6,203, 4,937 and 5,401 shares of Class A common stock under the Purchase Plan during the years 2025, 2024 and 2023, respectively, and recognized expense of $80, $105 and $102 in 2025, 2024 and 2023, respectively.</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conducts transactions with certain related parties including organizations controlled by the Johnson Family. These transactions include product purchases, aviation services, office rental, and facility fees. Total costs of these transactions were $1,782, $1,537 and $1,473 for 2025, 2024 and 2023, respectively. Amounts due to/from related parties were immaterial at October 3, 2025 and September 27, 2024.</w:t>
      </w:r>
    </w:p>
    <w:p>
      <w:pPr>
        <w:spacing w:after="0" w:line="19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Revenue is recognized when performance obligations under the terms of a contract with our customer are satisfied; generally this occurs with the transfer of control of our goods at a point in time based on shipping terms and transfer of title. Revenue is measured as the amount of consideration we expect to receive in exchange for transferring goods. The amount of consideration received can vary, primarily because of customer incentive or rebate arrangements. The Company estimates variable consideration based on the expected value of total consideration to which customers are likely to be entitled based on historical experience and projected market expectations. Included in the estimate is an assessment as to whether any variable consideration is constrained. Revenue estimates are adjusted at the earlier of a change in the expected value of consideration or when the consideration becomes fixed. </w:t>
      </w:r>
      <w:r>
        <w:rPr>
          <w:rFonts w:ascii="Times New Roman" w:cs="Times New Roman" w:eastAsia="Times New Roman" w:hAnsi="Times New Roman"/>
          <w:sz w:val="18"/>
          <w:szCs w:val="18"/>
          <w:color w:val="252525"/>
        </w:rPr>
        <w:t>For all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with customers, the Company has not adjusted the promised amount of consideration for the effects of a significant financing component as the period between the transfer of the promised goods and the customer's payment is expected to be one year or less. </w:t>
      </w:r>
      <w:r>
        <w:rPr>
          <w:rFonts w:ascii="Times New Roman" w:cs="Times New Roman" w:eastAsia="Times New Roman" w:hAnsi="Times New Roman"/>
          <w:sz w:val="18"/>
          <w:szCs w:val="18"/>
          <w:color w:val="000000"/>
        </w:rPr>
        <w:t>Sales are made on normal and customary short-term credit terms, generally ranging from 30 to 90 days, or upon delivery of point of sale transactions. Sales, value add, and other taxes we collect concurrent with revenue-producing activities are excluded from revenue.</w:t>
      </w:r>
    </w:p>
    <w:p>
      <w:pPr>
        <w:spacing w:after="0" w:line="2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enters into contractual arrangements with customers in the form of individual customer orders which specify the goods, quantity, pricing, and associated order terms. The Company does not have contracts which are satisfied over time. Due to the nature of these contracts, no significant judgment exists in relation to the identification of the customer contract, satisfaction of the performance obligation, or transaction price. The Company expenses incremental costs of obtaining a contract due to the short-term nature of the contracts.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Estimated costs of returns, allowances and discounts, based on historic experience, are accrued as a reduction to sales when revenue is recognized. The Company provides customers the right to return eligible products under certain circumstances. The right to returns asset is included in Other Current Assets and the accrued returns liability is included in Other Current Liabilities on the accompanying Consolidated Balance Sheets. At October 3, 2025, the right to returns asset was $981 and the accrued returns liability was $2,595. At September 27, 2024, the right to returns asset was $1,718 and the accrued returns liability was $4,052. The Company also offers assurance-type warranties relating to its products sold to end customers that continue to be accounted for under ASC 460 </w:t>
      </w:r>
      <w:r>
        <w:rPr>
          <w:rFonts w:ascii="Times New Roman" w:cs="Times New Roman" w:eastAsia="Times New Roman" w:hAnsi="Times New Roman"/>
          <w:sz w:val="18"/>
          <w:szCs w:val="18"/>
          <w:i w:val="1"/>
          <w:iCs w:val="1"/>
          <w:color w:val="auto"/>
        </w:rPr>
        <w:t>Guarantees.</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generally accounts for shipping and handling activities as a fulfillment activity, consistent with the timing of revenue recognition; that is, when a customer takes control of the transferred goods. In the event that a customer were to take control of a product upon or after shipment, the Company has made an accounting policy election to treat such shipping and handling activities as a fulfillment cost. Shipping and handling fees billed to customers are included in "Net Sales," and shipping and handling costs are recognized within "Marketing and selling expenses" in the same period the related revenue is recognized.</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a wide variety of seasonal, outdoor recreation products used primarily for fishing from a boat, diving, paddling, hiking and camping, that are sold to a variety of customers in multiple end markets. While there are multiple products sold, the nature of products are similar in terms of the nature of the revenue recognition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of these Notes to Consolidated Financial Statements for required disclosures of disaggregated revenue.</w:t>
      </w:r>
    </w:p>
    <w:p>
      <w:pPr>
        <w:spacing w:after="0" w:line="2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13</w:t>
        <w:tab/>
        <w:t>SEGMENTS OF BUSINESS</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conducts its worldwide operations through separate business segments, each of which represent major product lines. Operations are conducted in the U.S. and various foreign countries, primarily in Europe, Canada and the Pacific Basin. During the years ended October 3, 2025, September 27, 2024, and September 29, 2023, combined sales to one customer of the Company's Fishing, Camping and Watercraft Recreation segments represented approximately $119,540, $113,509, and $101,392 respectively, of the Company's consolidated revenues.</w:t>
      </w:r>
    </w:p>
    <w:p>
      <w:pPr>
        <w:spacing w:after="0" w:line="20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Company has historically reported "Camping" and "Watercraft Recreation" segments separately. Starting in the first fiscal quarter of 2025, the Company combined these two segments into one segment, "Camping &amp; Watercraft Recreation," consistent with the manner in which its chief operating decision maker ("CODM") assesses performance and makes resource allocations. The operating segment change was for financial reporting purposes only and did not impact or result in changes to operations of the business segments, nor did it impact the Company's consolidated financial statements, but it did impact our previous segment footnote disclosure and the table below, including the corresponding items of segment information disclosed in the prior year.</w:t>
      </w:r>
    </w:p>
    <w:p>
      <w:pPr>
        <w:spacing w:after="0" w:line="19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sold the Military and Commercial Tent product lines of its Camping &amp; Watercraft Recreation business segment to a third party in an asset sale for a purchase price of $14,990 during the second quarter of fiscal 2023, resulting in a gain on sale, net of final working capital true-up, of approximately $6,560, which was recorded in Other (income) expense, net in the Company’s accompanying Consolidated Statements of Operations. The sale did not include the Eureka! brand name or the Eureka! consumer/recreational Camping business line.</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fiscal 2024 and 2025, the Company also exited the Eureka! brand of the Camping &amp; Watercraft Recreation segment, which included liquidating all remaining consumer inventory of Eureka! branded products and winding down operations. Discontinuing the Eureka! branded product line allows the Company to focus solely on the Jetboil product line, which we believe has a strong position in the outdoor cooking market. The Company incurred expenses of approximately $4,800 in fiscal 2023 related to the wind down of the Eureka! branded business, which included accruing exit costs and increasing inventory reserves, as well as incurring a contribution expense for a $2,000 donation of Eureka! inventory to a nonprofit organization. The related costs in fiscal 2025 and 2024 were insignificant. These costs are recorded in Costs of Sales and Operating Expenses in the Consolidated Statements of Operations.</w:t>
      </w: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Chief Executive Officer, who has been identified as the CODM, primarily uses operating profit as the measure of profit or loss to assess segment performance and allocate resources. Operating profit represents net sales less cost of goods sold and operating expenses. Net Sales are directly attributed to each segment. Segment operating expenses include operating expenses directly attributable to the segment, as well as certain shared corporate administration and other costs which are allocated to the segments in a reasonable manner considering the specific facts and circumstances of the expenses being allocated. The CODM evaluates segment profitability based on operating profit (loss) because it provides key insights to operational leverage and other key operational metrics for each segment. Additionally, segment operating profit (loss) is used in the annual budgeting and forecasting process, and budget-to-actual and forecast-to-actual variances are considered when determining how resources should be allocated to each segment.</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Net sales and operating profit include both sales to customers, as reported in the Company’s accompanying Consolidated Statements of Operations, and inter-unit transfers, which are priced to recover costs plus an appropriate profit margin. Total assets represent assets that are used in the Company’s operations in each business segment at the end of the years presented. The accounting policies of the Company’s reportable segments are the same as those described in </w:t>
      </w:r>
      <w:r>
        <w:rPr>
          <w:rFonts w:ascii="Times New Roman" w:cs="Times New Roman" w:eastAsia="Times New Roman" w:hAnsi="Times New Roman"/>
          <w:sz w:val="18"/>
          <w:szCs w:val="18"/>
          <w:i w:val="1"/>
          <w:iCs w:val="1"/>
          <w:color w:val="auto"/>
        </w:rPr>
        <w:t>Note 1. Summary of Significant Accounting Policies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operations by business segment is presented below:</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w w:val="99"/>
              </w:rPr>
              <w:t>Camping &amp;</w:t>
            </w: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October 3, 2025</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Watercraft</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Fishing</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Recreation</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Diving</w:t>
            </w: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Other/Corporate</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Unaffiliated customers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458,099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57,990</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75,436</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592,415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Interunit transfers</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1,063</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(1,166)</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459,162</w:t>
            </w:r>
          </w:p>
        </w:tc>
        <w:tc>
          <w:tcPr>
            <w:tcW w:w="2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58,071</w:t>
            </w:r>
          </w:p>
        </w:tc>
        <w:tc>
          <w:tcPr>
            <w:tcW w:w="3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75,458</w:t>
            </w:r>
          </w:p>
        </w:tc>
        <w:tc>
          <w:tcPr>
            <w:tcW w:w="4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(276)</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592,415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319,740</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32,888</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32,236</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(542)</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384,322</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139,422</w:t>
            </w:r>
          </w:p>
        </w:tc>
        <w:tc>
          <w:tcPr>
            <w:tcW w:w="2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25,183</w:t>
            </w:r>
          </w:p>
        </w:tc>
        <w:tc>
          <w:tcPr>
            <w:tcW w:w="3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43,222</w:t>
            </w:r>
          </w:p>
        </w:tc>
        <w:tc>
          <w:tcPr>
            <w:tcW w:w="46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208,093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85,917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17,129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20,620</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10,789</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134,455</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 management, finance and information</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expense</w:t>
            </w:r>
          </w:p>
        </w:tc>
        <w:tc>
          <w:tcPr>
            <w:tcW w:w="4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10,133</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4,492</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15,961</w:t>
            </w:r>
          </w:p>
        </w:tc>
        <w:tc>
          <w:tcPr>
            <w:tcW w:w="46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27,041</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23,802</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2,644</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4,974</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782</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32,202</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1,667</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(38,346)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14,797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1,697</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1,045</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3,088</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514</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1,325</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984</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10,456</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(end of period)</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279,007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70,944</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92,718</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161,434</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604,103</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Camping &amp;</w:t>
            </w: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September 27, 2024</w:t>
            </w: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Watercraft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Fishing</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Recreation</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Diving</w:t>
            </w:r>
          </w:p>
        </w:tc>
        <w:tc>
          <w:tcPr>
            <w:tcW w:w="14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Other/Corporate</w:t>
            </w: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Unaffiliated customers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451,842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66,529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73,610</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865</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592,846</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Interunit transfers</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499</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(623)</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452,341</w:t>
            </w:r>
          </w:p>
        </w:tc>
        <w:tc>
          <w:tcPr>
            <w:tcW w:w="2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66,635</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73,628</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242</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592,846</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316,370</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40,664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34,900</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391,866</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135,971</w:t>
            </w:r>
          </w:p>
        </w:tc>
        <w:tc>
          <w:tcPr>
            <w:tcW w:w="2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25,971</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38,728</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96,959</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18,427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20,535</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8,643</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144,564</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 management, finance and information</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expense</w:t>
            </w:r>
          </w:p>
        </w:tc>
        <w:tc>
          <w:tcPr>
            <w:tcW w:w="44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10,249</w:t>
            </w:r>
          </w:p>
        </w:tc>
        <w:tc>
          <w:tcPr>
            <w:tcW w:w="2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5,140</w:t>
            </w:r>
          </w:p>
        </w:tc>
        <w:tc>
          <w:tcPr>
            <w:tcW w:w="3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15,395</w:t>
            </w:r>
          </w:p>
        </w:tc>
        <w:tc>
          <w:tcPr>
            <w:tcW w:w="4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26,859</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11,173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24,188</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2,892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4,042</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31,122</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(6,598)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(488)</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(35,192)</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13,871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1,626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763</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3,348</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17,248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990</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2,551</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(end of period)</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325,882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69,516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77,465</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162,349</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635,212</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95"/>
        </w:trPr>
        <w:tc>
          <w:tcPr>
            <w:tcW w:w="4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Camping &amp;</w:t>
            </w: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September 29, 2023</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Watercraft</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Fishing</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Recreation</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Diving</w:t>
            </w:r>
          </w:p>
        </w:tc>
        <w:tc>
          <w:tcPr>
            <w:tcW w:w="148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Other/Corporate</w:t>
            </w: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Unaffiliated customers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491,890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85,848</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85,031</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1,075</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663,844</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Interunit transfers</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(1,314)</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492,927</w:t>
            </w:r>
          </w:p>
        </w:tc>
        <w:tc>
          <w:tcPr>
            <w:tcW w:w="28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86,087</w:t>
            </w:r>
          </w:p>
        </w:tc>
        <w:tc>
          <w:tcPr>
            <w:tcW w:w="3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85,069</w:t>
            </w:r>
          </w:p>
        </w:tc>
        <w:tc>
          <w:tcPr>
            <w:tcW w:w="4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(239)</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663,844</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328,190</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52,807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39,406</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(646)</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419,757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164,737</w:t>
            </w:r>
          </w:p>
        </w:tc>
        <w:tc>
          <w:tcPr>
            <w:tcW w:w="28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33,280</w:t>
            </w:r>
          </w:p>
        </w:tc>
        <w:tc>
          <w:tcPr>
            <w:tcW w:w="3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45,663</w:t>
            </w:r>
          </w:p>
        </w:tc>
        <w:tc>
          <w:tcPr>
            <w:tcW w:w="46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244,087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89,592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23,554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22,269</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9,031</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 management, finance and information</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expense</w:t>
            </w:r>
          </w:p>
        </w:tc>
        <w:tc>
          <w:tcPr>
            <w:tcW w:w="4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9,671</w:t>
            </w:r>
          </w:p>
        </w:tc>
        <w:tc>
          <w:tcPr>
            <w:tcW w:w="28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7,562</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13,531</w:t>
            </w:r>
          </w:p>
        </w:tc>
        <w:tc>
          <w:tcPr>
            <w:tcW w:w="46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25,733</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24,149</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3,484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3,771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31,404</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41,325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(1,320)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6,092</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(34,357)</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11,653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1,157</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711</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2,774</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17,427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2,553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828</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1,860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11,172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(end of period)</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363,463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79,956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83,555</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154,632</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attributes revenue to individual countries based on the customer's location, not the shipping point or manufacturing site. A summary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operations by geographic area is presented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260" w:type="dxa"/>
            <w:vAlign w:val="bottom"/>
            <w:tcBorders>
              <w:top w:val="single" w:sz="8" w:color="auto"/>
              <w:bottom w:val="single" w:sz="8" w:color="auto"/>
            </w:tcBorders>
          </w:tcPr>
          <w:p>
            <w:pPr>
              <w:spacing w:after="0"/>
              <w:rPr>
                <w:sz w:val="22"/>
                <w:szCs w:val="22"/>
                <w:color w:val="auto"/>
              </w:rPr>
            </w:pPr>
          </w:p>
        </w:tc>
        <w:tc>
          <w:tcPr>
            <w:tcW w:w="28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516,567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513,978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569,383</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22,333</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20,958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33,873</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34,952</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34,406</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39,155</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8,456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28,448</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31,502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12,449</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12,959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(29,563)</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(43,757)</w:t>
            </w:r>
          </w:p>
        </w:tc>
      </w:tr>
      <w:tr>
        <w:trPr>
          <w:trHeight w:val="254"/>
        </w:trPr>
        <w:tc>
          <w:tcPr>
            <w:tcW w:w="4260" w:type="dxa"/>
            <w:vAlign w:val="bottom"/>
            <w:tcBorders>
              <w:bottom w:val="single" w:sz="8" w:color="auto"/>
            </w:tcBorders>
            <w:shd w:val="clear" w:color="auto" w:fill="CCEEFF"/>
          </w:tcPr>
          <w:p>
            <w:pPr>
              <w:spacing w:after="0"/>
              <w:rPr>
                <w:sz w:val="21"/>
                <w:szCs w:val="21"/>
                <w:color w:val="auto"/>
              </w:rPr>
            </w:pPr>
          </w:p>
        </w:tc>
        <w:tc>
          <w:tcPr>
            <w:tcW w:w="2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592,415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592,846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663,844</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478,102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520,834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54,810</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52,486</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39,151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38,431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6"/>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32,040</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23,461</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r>
      <w:tr>
        <w:trPr>
          <w:trHeight w:val="255"/>
        </w:trPr>
        <w:tc>
          <w:tcPr>
            <w:tcW w:w="4260" w:type="dxa"/>
            <w:vAlign w:val="bottom"/>
            <w:tcBorders>
              <w:bottom w:val="single" w:sz="8" w:color="auto"/>
            </w:tcBorders>
            <w:shd w:val="clear" w:color="auto" w:fill="CCEEFF"/>
          </w:tcPr>
          <w:p>
            <w:pPr>
              <w:spacing w:after="0"/>
              <w:rPr>
                <w:sz w:val="21"/>
                <w:szCs w:val="21"/>
                <w:color w:val="auto"/>
              </w:rPr>
            </w:pPr>
          </w:p>
        </w:tc>
        <w:tc>
          <w:tcPr>
            <w:tcW w:w="2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604,103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635,212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203"/>
        </w:trPr>
        <w:tc>
          <w:tcPr>
            <w:tcW w:w="4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Long-term assets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176,136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174,106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5,855</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6,468</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1,134</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9,116</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1,327</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r>
      <w:tr>
        <w:trPr>
          <w:trHeight w:val="255"/>
        </w:trPr>
        <w:tc>
          <w:tcPr>
            <w:tcW w:w="4260" w:type="dxa"/>
            <w:vAlign w:val="bottom"/>
            <w:tcBorders>
              <w:bottom w:val="single" w:sz="8" w:color="auto"/>
            </w:tcBorders>
            <w:shd w:val="clear" w:color="auto" w:fill="CCEEFF"/>
          </w:tcPr>
          <w:p>
            <w:pPr>
              <w:spacing w:after="0"/>
              <w:rPr>
                <w:sz w:val="21"/>
                <w:szCs w:val="21"/>
                <w:color w:val="auto"/>
              </w:rPr>
            </w:pPr>
          </w:p>
        </w:tc>
        <w:tc>
          <w:tcPr>
            <w:tcW w:w="2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192,241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183,063</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left="500" w:right="100" w:hanging="330"/>
        <w:spacing w:after="0" w:line="282" w:lineRule="auto"/>
        <w:tabs>
          <w:tab w:leader="none" w:pos="4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assets consist of net property, plant and equipment, right of use assets, net intangible assets, goodwill and other assets excluding deferred income taxes.</w:t>
      </w:r>
    </w:p>
    <w:p>
      <w:pPr>
        <w:spacing w:after="0" w:line="200" w:lineRule="exact"/>
        <w:rPr>
          <w:sz w:val="20"/>
          <w:szCs w:val="20"/>
          <w:color w:val="auto"/>
        </w:rPr>
      </w:pPr>
    </w:p>
    <w:p>
      <w:pPr>
        <w:spacing w:after="0" w:line="22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14</w:t>
        <w:tab/>
        <w:t>CONTINGENCIES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legal actions and proceedings in the normal course of business, including those related to commercial disputes, product liability, intellectual property and environmental matters. The Company is insured against loss for certain of these matters. Although litigation is subject to many uncertainties and the ultimate exposure with respect to these matters cannot be ascertained, management does not believe the final outcome of any pending litigation will have a material adverse effect on the financial condition, results of operations, liquidity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changes to valuation and qualifying accounts for 2025, 2024 and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Additions (Deductions)</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Balance at</w:t>
            </w:r>
          </w:p>
        </w:tc>
        <w:tc>
          <w:tcPr>
            <w:tcW w:w="360" w:type="dxa"/>
            <w:vAlign w:val="bottom"/>
          </w:tcPr>
          <w:p>
            <w:pPr>
              <w:spacing w:after="0"/>
              <w:rPr>
                <w:sz w:val="16"/>
                <w:szCs w:val="16"/>
                <w:color w:val="auto"/>
              </w:rPr>
            </w:pPr>
          </w:p>
        </w:tc>
        <w:tc>
          <w:tcPr>
            <w:tcW w:w="154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color w:val="auto"/>
                <w:w w:val="98"/>
              </w:rPr>
              <w:t>Charged</w:t>
            </w: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Balance at End of</w:t>
            </w: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center"/>
              <w:ind w:right="250"/>
              <w:spacing w:after="0" w:line="181" w:lineRule="exact"/>
              <w:rPr>
                <w:sz w:val="20"/>
                <w:szCs w:val="20"/>
                <w:color w:val="auto"/>
              </w:rPr>
            </w:pPr>
            <w:r>
              <w:rPr>
                <w:rFonts w:ascii="Times New Roman" w:cs="Times New Roman" w:eastAsia="Times New Roman" w:hAnsi="Times New Roman"/>
                <w:sz w:val="18"/>
                <w:szCs w:val="18"/>
                <w:color w:val="auto"/>
                <w:w w:val="98"/>
              </w:rPr>
              <w:t>to Costs and</w:t>
            </w:r>
          </w:p>
        </w:tc>
        <w:tc>
          <w:tcPr>
            <w:tcW w:w="240" w:type="dxa"/>
            <w:vAlign w:val="bottom"/>
          </w:tcPr>
          <w:p>
            <w:pPr>
              <w:spacing w:after="0"/>
              <w:rPr>
                <w:sz w:val="15"/>
                <w:szCs w:val="15"/>
                <w:color w:val="auto"/>
              </w:rPr>
            </w:pPr>
          </w:p>
        </w:tc>
        <w:tc>
          <w:tcPr>
            <w:tcW w:w="1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Less Deductions</w:t>
            </w:r>
          </w:p>
        </w:tc>
        <w:tc>
          <w:tcPr>
            <w:tcW w:w="2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Beginning of Year</w:t>
            </w: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Expenses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October 3, 2025</w:t>
            </w: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3,543</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inventory valuation</w:t>
            </w:r>
          </w:p>
        </w:tc>
        <w:tc>
          <w:tcPr>
            <w:tcW w:w="8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24,796</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3,068</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8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6,367</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29,623</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35,726</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sales returns</w:t>
            </w:r>
          </w:p>
        </w:tc>
        <w:tc>
          <w:tcPr>
            <w:tcW w:w="8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4,052</w:t>
            </w:r>
          </w:p>
        </w:tc>
        <w:tc>
          <w:tcPr>
            <w:tcW w:w="36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1,990</w:t>
            </w:r>
          </w:p>
        </w:tc>
        <w:tc>
          <w:tcPr>
            <w:tcW w:w="24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September 27, 2024</w:t>
            </w:r>
          </w:p>
        </w:tc>
        <w:tc>
          <w:tcPr>
            <w:tcW w:w="8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inventory valuation</w:t>
            </w:r>
          </w:p>
        </w:tc>
        <w:tc>
          <w:tcPr>
            <w:tcW w:w="8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18,471</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10,985</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4,660</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8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7,101</w:t>
            </w:r>
          </w:p>
        </w:tc>
        <w:tc>
          <w:tcPr>
            <w:tcW w:w="36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sales returns</w:t>
            </w:r>
          </w:p>
        </w:tc>
        <w:tc>
          <w:tcPr>
            <w:tcW w:w="8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1,773</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5,710</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3,431</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September 29, 2023</w:t>
            </w: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inventory valuation</w:t>
            </w:r>
          </w:p>
        </w:tc>
        <w:tc>
          <w:tcPr>
            <w:tcW w:w="8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9,089</w:t>
            </w:r>
          </w:p>
        </w:tc>
        <w:tc>
          <w:tcPr>
            <w:tcW w:w="36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10,225</w:t>
            </w:r>
          </w:p>
        </w:tc>
        <w:tc>
          <w:tcPr>
            <w:tcW w:w="24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18,471</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8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6,700</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Reserves for sales returns</w:t>
            </w:r>
          </w:p>
        </w:tc>
        <w:tc>
          <w:tcPr>
            <w:tcW w:w="8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2,448</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2,875</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QUARTERLY FINANCIAL SUMMARY (UNAUDITED)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quarterly operating results for the years presented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5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Borders>
              <w:top w:val="single" w:sz="8" w:color="auto"/>
              <w:bottom w:val="single" w:sz="8" w:color="auto"/>
            </w:tcBorders>
          </w:tcPr>
          <w:p>
            <w:pPr>
              <w:spacing w:after="0"/>
              <w:rPr>
                <w:sz w:val="22"/>
                <w:szCs w:val="22"/>
                <w:color w:val="auto"/>
              </w:rPr>
            </w:pPr>
          </w:p>
        </w:tc>
        <w:tc>
          <w:tcPr>
            <w:tcW w:w="1920" w:type="dxa"/>
            <w:vAlign w:val="bottom"/>
            <w:tcBorders>
              <w:top w:val="single" w:sz="8" w:color="auto"/>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Borders>
              <w:top w:val="single" w:sz="8" w:color="auto"/>
              <w:bottom w:val="single" w:sz="8" w:color="auto"/>
            </w:tcBorders>
          </w:tcPr>
          <w:p>
            <w:pPr>
              <w:spacing w:after="0"/>
              <w:rPr>
                <w:sz w:val="22"/>
                <w:szCs w:val="22"/>
                <w:color w:val="auto"/>
              </w:rPr>
            </w:pPr>
          </w:p>
        </w:tc>
        <w:tc>
          <w:tcPr>
            <w:tcW w:w="1860" w:type="dxa"/>
            <w:vAlign w:val="bottom"/>
            <w:tcBorders>
              <w:top w:val="single" w:sz="8" w:color="auto"/>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Fourth Quarter</w:t>
            </w:r>
          </w:p>
        </w:tc>
      </w:tr>
      <w:tr>
        <w:trPr>
          <w:trHeight w:val="237"/>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per share data)</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107,649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138,644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168,349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175,856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180,655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172,472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135,762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105,874</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32,183</w:t>
            </w:r>
          </w:p>
        </w:tc>
        <w:tc>
          <w:tcPr>
            <w:tcW w:w="2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52,854</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58,866</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61,431</w:t>
            </w:r>
          </w:p>
        </w:tc>
        <w:tc>
          <w:tcPr>
            <w:tcW w:w="2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67,927</w:t>
            </w:r>
          </w:p>
        </w:tc>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61,822</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49,117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24,873</w:t>
            </w: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(20,239)</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4,901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7,330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(42,809)</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(18,927)</w:t>
            </w:r>
          </w:p>
        </w:tc>
        <w:tc>
          <w:tcPr>
            <w:tcW w:w="2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5,899</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4,158</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3,012</w:t>
            </w:r>
          </w:p>
        </w:tc>
        <w:tc>
          <w:tcPr>
            <w:tcW w:w="2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10,500</w:t>
            </w:r>
          </w:p>
        </w:tc>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(39,680)</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(3,637)</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1,854</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2,758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24,040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r>
      <w:tr>
        <w:trPr>
          <w:trHeight w:val="230"/>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(15,290)</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2,156</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7,742</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(29,050)</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(34,266)</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0"/>
        </w:trPr>
        <w:tc>
          <w:tcPr>
            <w:tcW w:w="25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Net income (loss) per common</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 Basic:</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0"/>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0.75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55"/>
        </w:trPr>
        <w:tc>
          <w:tcPr>
            <w:tcW w:w="2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0.72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2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58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Net income (loss) per common</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3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 Diluted:</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0.75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2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0.75</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Due to changes in stock prices during the year and the timing of issuance of shares, the cumulative total of quarterly net income (loss) per share amounts may not equal the net income (loss) per share for the entire year.</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25, 2024, the Company acquired all the outstanding common stock of Endless Summer Technologies Proprietary, Limited ("EST") and related patents and other assets used in EST's business and operations in a purchase transaction with EST's sole shareholder (the "Seller"). EST, based in Durban, South Africa, has been a long term supplier of products to the Company and it specializes in the design, development and manufacturing of scuba equipment through unique application of existing, new and emerging technologies. The EST acquisition is included in the Company's Diving segment, and is expected to provide new innovative products, unlock synergies and enhance operating efficiencies for the Diving segment.</w:t>
      </w:r>
    </w:p>
    <w:p>
      <w:pPr>
        <w:spacing w:after="0" w:line="19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The approximately $12,197 acquisition cost was funded with existing cash. Approximately $1,650 of the purchase price was paid into segregated escrow accounts which were set aside to fund (1) any potential downward purchase price adjustment tied to cash, debt and net working capital levels as of the closing or (2) potential indemnity claims that may be made by the Company against the Seller in connection with the inaccuracy of certain representations and warranties made by the Seller or related to the breach or nonperformance of certain other actions, agreements or conditions related to the acquisition, for a period of 24 months from the acquisition date. The Company cannot estimate the probability or likelihood of bringing such an indemnity claim against the Seller or any related costs at this time. The remaining escrow balance, if any, net of any indemnity claim then pending, will be released to the Seller once the 24 month period has lapsed.</w:t>
      </w:r>
    </w:p>
    <w:p>
      <w:pPr>
        <w:spacing w:after="0" w:line="19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Company finalized the purchase accounting during the fourth quarter of fiscal 2025, and there were no material adjustments made during the measurement period. The following table summarizes the fair values of the assets acquired and liabilities assumed, and the resulting goodwill acquired at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0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0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0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0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0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 and accruals</w:t>
            </w:r>
          </w:p>
        </w:tc>
        <w:tc>
          <w:tcPr>
            <w:tcW w:w="40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36"/>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long term liabilities</w:t>
            </w:r>
          </w:p>
        </w:tc>
        <w:tc>
          <w:tcPr>
            <w:tcW w:w="40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0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37"/>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10,231</w:t>
            </w:r>
          </w:p>
        </w:tc>
      </w:tr>
      <w:tr>
        <w:trPr>
          <w:trHeight w:val="255"/>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0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w:t>
            </w:r>
          </w:p>
        </w:tc>
      </w:tr>
      <w:tr>
        <w:trPr>
          <w:trHeight w:val="20"/>
        </w:trPr>
        <w:tc>
          <w:tcPr>
            <w:tcW w:w="6220" w:type="dxa"/>
            <w:vAlign w:val="bottom"/>
            <w:tcBorders>
              <w:top w:val="single" w:sz="8" w:color="CCEEFF"/>
              <w:bottom w:val="single" w:sz="8" w:color="auto"/>
            </w:tcBorders>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Pro forma financial information has not been presented because such amounts are not material to the unaudited condensed consolidated financial statements.</w:t>
      </w:r>
    </w:p>
    <w:p>
      <w:pPr>
        <w:spacing w:after="0" w:line="18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Transaction costs incurred for the acquisition to date were approximately $635, of which approximately $135 was recognized during the year ended October 3, 2025, and which are included in Administrative management, finance and information systems expenses in the accompanying Condensed Consolidated Statements of Operations.</w:t>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19"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10.20</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$50,000,000 REVOLVING CREDIT FACILITY</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JOHNSON OUTDOORS WATERCRAFT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JOHNSON OUTDOORS MARINE ELECTRONICS,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JOHNSON OUTDOORS DIVING LLC,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SEA INDUSTRIES, INC., 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JOHNSON OUTDOORS GEAR,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Borrowers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GUARANTORS PARTY HERETO</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PNC BANK, NATIONAL ASSOCIATION, as Administrative Agent, Swing Loan Lender and Issuing Lender</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PNC CAPITAL MARKETS LLC, as Sole Lead Arranger and Sole Bookrunner</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Dated as of December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00" w:type="dxa"/>
            <w:vAlign w:val="bottom"/>
            <w:gridSpan w:val="3"/>
          </w:tcPr>
          <w:p>
            <w:pPr>
              <w:ind w:left="2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1.</w:t>
            </w:r>
          </w:p>
        </w:tc>
        <w:tc>
          <w:tcPr>
            <w:tcW w:w="1052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CERTAIN DEFINITIONS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9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Certain 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99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Construction.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9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Accounting Principles; Changes in GAAP.</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99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Benchmark Replacement Notification; Rates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w:t>
            </w:r>
          </w:p>
        </w:tc>
        <w:tc>
          <w:tcPr>
            <w:tcW w:w="9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Conforming Changes Relating to the Term SOFR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2.</w:t>
            </w:r>
          </w:p>
        </w:tc>
        <w:tc>
          <w:tcPr>
            <w:tcW w:w="105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REVOLVING CREDIT AND SWING LOAN FACILITIES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99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Revolving Credit Commitments.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Revolving Credit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2.1.2</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Swing Loan Commitment.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w:t>
            </w:r>
          </w:p>
        </w:tc>
        <w:tc>
          <w:tcPr>
            <w:tcW w:w="9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Nature of Lenders' Obligations with Respect to Revolving Credit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w:t>
            </w:r>
          </w:p>
        </w:tc>
        <w:tc>
          <w:tcPr>
            <w:tcW w:w="99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Commitment Fees.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w:t>
            </w:r>
          </w:p>
        </w:tc>
        <w:tc>
          <w:tcPr>
            <w:tcW w:w="9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Termination or Reduction of Revolving Credit Commitments.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w:t>
            </w:r>
          </w:p>
        </w:tc>
        <w:tc>
          <w:tcPr>
            <w:tcW w:w="99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Revolving Credit Loan Requests; Swing Loan Requests.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2.5.1</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Revolving Credit Loan Requests.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2.5.2</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Swing Loan Requests.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6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9920" w:type="dxa"/>
            <w:vAlign w:val="bottom"/>
            <w:gridSpan w:val="4"/>
          </w:tcPr>
          <w:p>
            <w:pPr>
              <w:ind w:left="300"/>
              <w:spacing w:after="0" w:line="198" w:lineRule="exact"/>
              <w:rPr>
                <w:sz w:val="20"/>
                <w:szCs w:val="20"/>
                <w:color w:val="auto"/>
              </w:rPr>
            </w:pPr>
            <w:r>
              <w:rPr>
                <w:rFonts w:ascii="Times New Roman" w:cs="Times New Roman" w:eastAsia="Times New Roman" w:hAnsi="Times New Roman"/>
                <w:sz w:val="18"/>
                <w:szCs w:val="18"/>
                <w:color w:val="auto"/>
              </w:rPr>
              <w:t>Making Revolving Credit Loans and Swing Loans; Presumptions by the Administrative Agent; Repayment of Revolving Credit</w:t>
            </w:r>
          </w:p>
        </w:tc>
        <w:tc>
          <w:tcPr>
            <w:tcW w:w="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Loans; Borrowings to Repay Swing Loans.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2.6.1</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Making Revolving Credit Loans.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2.6.2</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Presumptions by the Administrative Agent.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2.6.3</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Making Swing Loans.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2.6.4</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Repayment of Revolving Credit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Borrowings to Repay Swing Loans.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2.6.6</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Swing Loans Under Cash Management Agreements.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Notes.</w:t>
            </w:r>
          </w:p>
        </w:tc>
        <w:tc>
          <w:tcPr>
            <w:tcW w:w="29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w:t>
            </w:r>
          </w:p>
        </w:tc>
        <w:tc>
          <w:tcPr>
            <w:tcW w:w="9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Use of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w:t>
            </w:r>
          </w:p>
        </w:tc>
        <w:tc>
          <w:tcPr>
            <w:tcW w:w="99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Letter of Credit Subfacility.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2.9.1</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Issuance of Letters of Credit.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2.9.2</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 of Credit Fees.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2.9.3</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Disbursements, Reimbursement.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2.9.4</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 of Participation Advances.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2.9.5</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Documentation.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2.9.6</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Determinations to Honor Drawing Requests.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2.9.7</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Nature of Participation and Reimbursement Obligations.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2.9.8</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Indemnity.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2.9.9</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Liability for Acts and Omissions.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2.9.10</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Issuing Lender Reporting Requirements.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2.10</w:t>
            </w:r>
          </w:p>
        </w:tc>
        <w:tc>
          <w:tcPr>
            <w:tcW w:w="9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Defaulting Lenders.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2.10.1</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Defaulting Lender Adjustments.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2.10.2</w:t>
            </w:r>
          </w:p>
        </w:tc>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Defaulting Lender Cure.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2.10.3</w:t>
            </w:r>
          </w:p>
        </w:tc>
        <w:tc>
          <w:tcPr>
            <w:tcW w:w="9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Swing Loans/Letters of Credit.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2.11</w:t>
            </w:r>
          </w:p>
        </w:tc>
        <w:tc>
          <w:tcPr>
            <w:tcW w:w="8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Increase in Commitments and Added Term Loans.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2.12</w:t>
            </w:r>
          </w:p>
        </w:tc>
        <w:tc>
          <w:tcPr>
            <w:tcW w:w="8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Springing Borrowing Base.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3.</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80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9500" w:type="dxa"/>
            <w:vAlign w:val="bottom"/>
            <w:gridSpan w:val="3"/>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4.</w:t>
            </w:r>
          </w:p>
        </w:tc>
        <w:tc>
          <w:tcPr>
            <w:tcW w:w="95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INTEREST RATES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8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Rate Options.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4.1.1</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Interest Rate Options; Swing Line Interest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4.1.2</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Quotations.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8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Periods.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4.2.1</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 of Borrowing Tranche.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4.2.2</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Renewals.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8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After Default.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4.3.1</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of Credit Fees, Interest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4.3.2</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4.3.3</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8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Rate Unascertainable; Increased Costs; Illegality; Benchmark Replacement Setting.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4.4.1</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Unascertainable; Increased Costs.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4.4.2</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Illegality.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4.4.3</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Agent's and Lender's Rights.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4.4.4</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4.5</w:t>
            </w:r>
          </w:p>
        </w:tc>
        <w:tc>
          <w:tcPr>
            <w:tcW w:w="8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Selection of Interest Rate Options.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5.</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PAYMENTS</w:t>
            </w:r>
          </w:p>
        </w:tc>
        <w:tc>
          <w:tcPr>
            <w:tcW w:w="80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8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w:t>
            </w:r>
          </w:p>
        </w:tc>
        <w:tc>
          <w:tcPr>
            <w:tcW w:w="8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 Rata Treatment of Lenders.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5.3</w:t>
            </w:r>
          </w:p>
        </w:tc>
        <w:tc>
          <w:tcPr>
            <w:tcW w:w="8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w:t>
            </w:r>
          </w:p>
        </w:tc>
        <w:tc>
          <w:tcPr>
            <w:tcW w:w="8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Administrative Agent’s Clawback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5.4.1</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Funding by Lenders; Presumption by Administrative Agent.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5.4.2</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by Borrowers; Presumptions by Administrative Agent.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5.5</w:t>
            </w:r>
          </w:p>
        </w:tc>
        <w:tc>
          <w:tcPr>
            <w:tcW w:w="8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Payment Dates.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5.6</w:t>
            </w:r>
          </w:p>
        </w:tc>
        <w:tc>
          <w:tcPr>
            <w:tcW w:w="8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Voluntary Prepayments.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5.7</w:t>
            </w:r>
          </w:p>
        </w:tc>
        <w:tc>
          <w:tcPr>
            <w:tcW w:w="8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Mandatory Prepayments.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w:t>
            </w:r>
          </w:p>
        </w:tc>
        <w:tc>
          <w:tcPr>
            <w:tcW w:w="8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Increased Costs.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5.8.1</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Increased Costs Generally.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5.8.2</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Requirements.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5.8.3</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Certificates for Reimbursement; Repayment of Outstanding Loans; Borrowing of New Loans.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5.8.4</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Delay in Requests.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5.9</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80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5.9.1</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Issuing Lender.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5.9.2</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Free of Taxes.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5.9.3</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Other Taxes by the Loan Parties.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5.9.4</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Indemnification by the Loan Parties.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5.9.5</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by the Lenders.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5.9.6</w:t>
            </w:r>
          </w:p>
        </w:tc>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Evidence of Payments.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5.9.7</w:t>
            </w:r>
          </w:p>
        </w:tc>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Status of Lenders.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5.9.8</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Treatment of Certain Refunds.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5.9.9</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5.10</w:t>
            </w:r>
          </w:p>
        </w:tc>
        <w:tc>
          <w:tcPr>
            <w:tcW w:w="9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Indemnity.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5.11</w:t>
            </w:r>
          </w:p>
        </w:tc>
        <w:tc>
          <w:tcPr>
            <w:tcW w:w="9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Settlement Date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5.12</w:t>
            </w:r>
          </w:p>
        </w:tc>
        <w:tc>
          <w:tcPr>
            <w:tcW w:w="9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Collateral.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5.13</w:t>
            </w:r>
          </w:p>
        </w:tc>
        <w:tc>
          <w:tcPr>
            <w:tcW w:w="9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Replacement of a Lender.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5.14</w:t>
            </w:r>
          </w:p>
        </w:tc>
        <w:tc>
          <w:tcPr>
            <w:tcW w:w="9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Designation of a Different Lending Office.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30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6.</w:t>
            </w:r>
          </w:p>
        </w:tc>
        <w:tc>
          <w:tcPr>
            <w:tcW w:w="10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w:t>
            </w:r>
          </w:p>
        </w:tc>
        <w:tc>
          <w:tcPr>
            <w:tcW w:w="9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6.1.1</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 and Qualification; Power and Authority; Compliance With Laws; Title to Properties; Event of Default.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6.1.2</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and Owners; Investment Companies.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6.1.3</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Validity and Binding Effect.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6.1.4</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Conflict; Material Agreements; Consents.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6.1.5</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6.1.6</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6.1.7</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 Stock.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6.1.8</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 Disclosure.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6.1.9</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6.1.10</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Trademarks, Copyrights, Licenses, Etc.</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6.1.11</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Liens in the Collateral.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6.1.12</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6.1.13</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Compliance.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6.1.14</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6.1.15</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Solvency.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6.1.16</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Sanctions; International Trade, Anti-Money Laundering and Anti-Corruption Laws.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6.1.17</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Beneficial Ownership.</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6.1.18</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Matters.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6.2</w:t>
            </w:r>
          </w:p>
        </w:tc>
        <w:tc>
          <w:tcPr>
            <w:tcW w:w="9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Updates to Schedules.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30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7.</w:t>
            </w:r>
          </w:p>
        </w:tc>
        <w:tc>
          <w:tcPr>
            <w:tcW w:w="10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CONDITIONS OF LENDING AND ISSUANCE OF LETTERS OF CREDIT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w:t>
            </w:r>
          </w:p>
        </w:tc>
        <w:tc>
          <w:tcPr>
            <w:tcW w:w="9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First Loans and Letters of Credit.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7.1.1</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Deliveries.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7.1.2</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Fees.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7.2</w:t>
            </w:r>
          </w:p>
        </w:tc>
        <w:tc>
          <w:tcPr>
            <w:tcW w:w="9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Each Loan or Letter of Credit.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8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8.</w:t>
            </w:r>
          </w:p>
        </w:tc>
        <w:tc>
          <w:tcPr>
            <w:tcW w:w="1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COVENANTS</w:t>
            </w:r>
          </w:p>
        </w:tc>
        <w:tc>
          <w:tcPr>
            <w:tcW w:w="8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8.1</w:t>
            </w:r>
          </w:p>
        </w:tc>
        <w:tc>
          <w:tcPr>
            <w:tcW w:w="9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Affirmative Covenants.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8.1.1</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8.1.2</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Liabilities, Including Taxes, Etc.</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8.1.3</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of Insurance.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8.1.4</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of Properties and 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8.1.5</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Visitation Rights.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8.1.6</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Keeping of Records and Books of Account.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8.1.7</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Compliance with Laws; Use of Proceeds.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8.1.8</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8.1.9</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Sanctions; International Trade, Anti-Money Laundering, and Anti-Corruption Laws.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8.1.10</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Keepwell.</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8.1.11</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Beneficial Ownership and Other Additional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10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Negative Covenants.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8.2.1</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Indebtedness.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8.2.2</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Liens; Lien Covenants.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8.2.3</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8.2.4</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and Restricted Investments in Foreign Subsidiaries.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8.2.5</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Stock Repurchases and Related Distributions.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8.2.6</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Liquidations, Mergers, Consolidations, Acquisitions.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8.2.7</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Dispositions of Assets or Subsidiaries.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8.2.8</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Affiliate Transactions.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8.2.9</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 Partnerships and Joint Ventures.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8.2.10</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Continuation of or Change in Business.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8.2.11</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Fiscal Year.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8.2.12</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8.2.13</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Organizational Documents.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8.2.14</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Maximum Net Leverage Ratio.</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8.2.15</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Minimum Interest Coverage Ratio.</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8.2.16</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Negative Pledge.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8.2.17</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Sanctions; International Trade, Anti-Money Laundering and other Anti-Corruption Laws.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w:t>
            </w:r>
          </w:p>
        </w:tc>
        <w:tc>
          <w:tcPr>
            <w:tcW w:w="10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Reporting Requirements.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8.3.1</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Quarterly 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8.3.2</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Annual Financial Statements.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8.3.3</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Borrowers.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8.3.4</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8.3.5</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 Base Certificates; Schedules of Accounts, Inventory and Payables.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8.3.6</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Exams; Appraisals.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8.3.7</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Posting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9.</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DEFAULT</w:t>
            </w:r>
          </w:p>
        </w:tc>
        <w:tc>
          <w:tcPr>
            <w:tcW w:w="9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c>
          <w:tcPr>
            <w:tcW w:w="10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Events of Default.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9.1.1</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Under Loan Documents.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9.1.2</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Breach of Warranty.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9.1.3</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Sanctions; International Trade, Anti-Money Laundering and Anti-Corruption Laws.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9.1.4</w:t>
            </w:r>
          </w:p>
        </w:tc>
        <w:tc>
          <w:tcPr>
            <w:tcW w:w="92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Breach of Negative Covenants, Visitation Rights or Anti-Corruption Laws, Anti-Money Laundering Laws and International</w:t>
            </w:r>
          </w:p>
        </w:tc>
        <w:tc>
          <w:tcPr>
            <w:tcW w:w="3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Laws.</w:t>
            </w:r>
          </w:p>
        </w:tc>
        <w:tc>
          <w:tcPr>
            <w:tcW w:w="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9.1.5</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Breach of Other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Defaults in Other Agreements or Indebtedness.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9.1.7</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Final Judgments or Orders.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9.1.8</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 Document Unenforceable.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9.1.9</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Uninsured Losses; Proceedings Against Assets.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9.1.10</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Events Relating to Pension Plans and Multiemployer Plans.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9.1.11</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of Control.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9.1.12</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Relief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9.2</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Consequences of Event of Default.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9.2.1</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 Generally.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9.2.2</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Bankruptcy, Insolvency or Reorganization Proceedings.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9.2.3</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Set-off.</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9.2.4</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Enforcement of Rights and Remedies.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9.2.5</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340" w:type="dxa"/>
            <w:vAlign w:val="bottom"/>
            <w:gridSpan w:val="3"/>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10.</w:t>
            </w:r>
          </w:p>
        </w:tc>
        <w:tc>
          <w:tcPr>
            <w:tcW w:w="10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ADMINISTRATIVE AGENT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Rights as a Lender.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Exculpatory Provisions.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Delegation of Duties.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 Other Duties, etc.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Agent’s Fee.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Reliance on Administrative Agent’s Customer Identification Program.</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Certain ERISA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Erroneous Payments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6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10.14</w:t>
            </w:r>
          </w:p>
        </w:tc>
        <w:tc>
          <w:tcPr>
            <w:tcW w:w="974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rPr>
              <w:t>Lender Provided Interest Rate Hedges, Lender Provided Foreign Currency Hedges and Other Lender Provided Financial Service</w:t>
            </w: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340" w:type="dxa"/>
            <w:vAlign w:val="bottom"/>
            <w:gridSpan w:val="3"/>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11.</w:t>
            </w:r>
          </w:p>
        </w:tc>
        <w:tc>
          <w:tcPr>
            <w:tcW w:w="103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MISCELLANEOUS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11.1</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Modifications, Amendments or Waivers.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11.1.1</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of Commitment.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11.1.2</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 of Payment; Reduction of Principal, Interest or Fees; Modification of Terms of Payment.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11.1.3</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 of Collateral or Guarantor; Subordination of Obligations or Collateral.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11.1.4</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11.2</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Implied Waivers; Cumulative Remedies.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11.3</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11.3.1</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and Expenses.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11.3.2</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by the Borrowers.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11.3.3</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by Lenders.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11.3.4</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Consequential Damages, Etc.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11.3.5</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11.3.6</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11.4</w:t>
            </w:r>
          </w:p>
        </w:tc>
        <w:tc>
          <w:tcPr>
            <w:tcW w:w="9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Holidays.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11.5</w:t>
            </w:r>
          </w:p>
        </w:tc>
        <w:tc>
          <w:tcPr>
            <w:tcW w:w="9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11.5.1</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Notices Generally.</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11.5.2</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Electronic Communications.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11.5.3</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of Address, Etc.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11.5.4</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Platform.</w:t>
            </w:r>
          </w:p>
        </w:tc>
        <w:tc>
          <w:tcPr>
            <w:tcW w:w="8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8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Duration; Survival.</w:t>
            </w:r>
          </w:p>
        </w:tc>
        <w:tc>
          <w:tcPr>
            <w:tcW w:w="8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11.8.1</w:t>
            </w:r>
          </w:p>
        </w:tc>
        <w:tc>
          <w:tcPr>
            <w:tcW w:w="9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Successors and Assigns Generally.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9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11.8.2</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Assignments by Lenders.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11.8.3</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Register.</w:t>
            </w:r>
          </w:p>
        </w:tc>
        <w:tc>
          <w:tcPr>
            <w:tcW w:w="8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11.8.4</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Participations.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11.8.5</w:t>
            </w:r>
          </w:p>
        </w:tc>
        <w:tc>
          <w:tcPr>
            <w:tcW w:w="9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Pledges; Successors and Assigns Generally.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11.8.6</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Cashless Settlement.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11.8.7</w:t>
            </w:r>
          </w:p>
        </w:tc>
        <w:tc>
          <w:tcPr>
            <w:tcW w:w="9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Arrangers/Bookrunners.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8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11.9.1</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8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11.9.2</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Sharing Information With Affiliates of the Lenders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074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11.10Counterparts; Integration; Effectiveness; Electronic Execution.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11.10.1</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11.10.2</w:t>
            </w:r>
          </w:p>
        </w:tc>
        <w:tc>
          <w:tcPr>
            <w:tcW w:w="9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Electronic Execution.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198"/>
        </w:trPr>
        <w:tc>
          <w:tcPr>
            <w:tcW w:w="10740" w:type="dxa"/>
            <w:vAlign w:val="bottom"/>
            <w:gridSpan w:val="5"/>
          </w:tcPr>
          <w:p>
            <w:pPr>
              <w:ind w:left="460"/>
              <w:spacing w:after="0" w:line="198" w:lineRule="exact"/>
              <w:rPr>
                <w:sz w:val="20"/>
                <w:szCs w:val="20"/>
                <w:color w:val="auto"/>
              </w:rPr>
            </w:pPr>
            <w:r>
              <w:rPr>
                <w:rFonts w:ascii="Times New Roman" w:cs="Times New Roman" w:eastAsia="Times New Roman" w:hAnsi="Times New Roman"/>
                <w:sz w:val="18"/>
                <w:szCs w:val="18"/>
                <w:color w:val="auto"/>
                <w:w w:val="99"/>
              </w:rPr>
              <w:t>11.11CHOICE OF LAW; SUBMISSION TO JURISDICTION; WAIVER OF VENUE; SERVICE OF PROCESS; WAIVER OF JURY</w:t>
            </w:r>
          </w:p>
        </w:tc>
        <w:tc>
          <w:tcPr>
            <w:tcW w:w="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117</w:t>
            </w:r>
          </w:p>
        </w:tc>
      </w:tr>
      <w:tr>
        <w:trPr>
          <w:trHeight w:val="234"/>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TRIAL.</w:t>
            </w:r>
          </w:p>
        </w:tc>
        <w:tc>
          <w:tcPr>
            <w:tcW w:w="8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11.11.1</w:t>
            </w:r>
          </w:p>
        </w:tc>
        <w:tc>
          <w:tcPr>
            <w:tcW w:w="9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9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11.11.2</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11.11.3</w:t>
            </w:r>
          </w:p>
        </w:tc>
        <w:tc>
          <w:tcPr>
            <w:tcW w:w="9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WAIVER OF VENUE.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9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11.11.4</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 OF PROCESS.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11.11.5</w:t>
            </w:r>
          </w:p>
        </w:tc>
        <w:tc>
          <w:tcPr>
            <w:tcW w:w="9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WAIVER OF JURY TRIAL.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7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8"/>
              </w:rPr>
              <w:t>11.12USA PATRIOT Act Notice.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11.13</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Borrower Agent.</w:t>
            </w:r>
          </w:p>
        </w:tc>
        <w:tc>
          <w:tcPr>
            <w:tcW w:w="8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7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9"/>
              </w:rPr>
              <w:t>11.14Joint and Several Obligations of Borrowers.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74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11.15Acknowledgement and Consent to Bail-In of Affected Financial Institutions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7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9"/>
              </w:rPr>
              <w:t>11.16Acknowledgement Regarding any Supported QFCs.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74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11.17Amendment and Restatement, No Novation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 Fiduciary Duty.</w:t>
            </w:r>
          </w:p>
        </w:tc>
        <w:tc>
          <w:tcPr>
            <w:tcW w:w="8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414"/>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0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LIST OF SCHEDULES AND EXHIBITS</w:t>
            </w:r>
          </w:p>
        </w:tc>
        <w:tc>
          <w:tcPr>
            <w:tcW w:w="500" w:type="dxa"/>
            <w:vAlign w:val="bottom"/>
          </w:tcPr>
          <w:p>
            <w:pPr>
              <w:spacing w:after="0"/>
              <w:rPr>
                <w:sz w:val="24"/>
                <w:szCs w:val="24"/>
                <w:color w:val="auto"/>
              </w:rPr>
            </w:pPr>
          </w:p>
        </w:tc>
      </w:tr>
      <w:tr>
        <w:trPr>
          <w:trHeight w:val="391"/>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9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7"/>
        </w:trPr>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6"/>
        </w:trPr>
        <w:tc>
          <w:tcPr>
            <w:tcW w:w="1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PRICING GRID</w:t>
            </w:r>
          </w:p>
        </w:tc>
        <w:tc>
          <w:tcPr>
            <w:tcW w:w="500" w:type="dxa"/>
            <w:vAlign w:val="bottom"/>
            <w:shd w:val="clear" w:color="auto" w:fill="CCEEFF"/>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1.1(B)</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 OF LENDERS AND ADDRESSES FOR NOTICES</w:t>
            </w:r>
          </w:p>
        </w:tc>
        <w:tc>
          <w:tcPr>
            <w:tcW w:w="500" w:type="dxa"/>
            <w:vAlign w:val="bottom"/>
          </w:tcPr>
          <w:p>
            <w:pPr>
              <w:spacing w:after="0"/>
              <w:rPr>
                <w:sz w:val="18"/>
                <w:szCs w:val="18"/>
                <w:color w:val="auto"/>
              </w:rPr>
            </w:pPr>
          </w:p>
        </w:tc>
      </w:tr>
      <w:tr>
        <w:trPr>
          <w:trHeight w:val="216"/>
        </w:trPr>
        <w:tc>
          <w:tcPr>
            <w:tcW w:w="1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1.1(P)</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PERMITTED LIENS</w:t>
            </w:r>
          </w:p>
        </w:tc>
        <w:tc>
          <w:tcPr>
            <w:tcW w:w="500" w:type="dxa"/>
            <w:vAlign w:val="bottom"/>
            <w:shd w:val="clear" w:color="auto" w:fill="CCEEFF"/>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1.1(Q)(1)</w:t>
            </w:r>
          </w:p>
        </w:tc>
        <w:tc>
          <w:tcPr>
            <w:tcW w:w="92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QUALIFIED ACCOUNTS</w:t>
            </w:r>
          </w:p>
        </w:tc>
        <w:tc>
          <w:tcPr>
            <w:tcW w:w="500" w:type="dxa"/>
            <w:vAlign w:val="bottom"/>
          </w:tcPr>
          <w:p>
            <w:pPr>
              <w:spacing w:after="0"/>
              <w:rPr>
                <w:sz w:val="18"/>
                <w:szCs w:val="18"/>
                <w:color w:val="auto"/>
              </w:rPr>
            </w:pPr>
          </w:p>
        </w:tc>
      </w:tr>
      <w:tr>
        <w:trPr>
          <w:trHeight w:val="216"/>
        </w:trPr>
        <w:tc>
          <w:tcPr>
            <w:tcW w:w="1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1.1(Q)(2)</w:t>
            </w:r>
          </w:p>
        </w:tc>
        <w:tc>
          <w:tcPr>
            <w:tcW w:w="920" w:type="dxa"/>
            <w:vAlign w:val="bottom"/>
            <w:shd w:val="clear" w:color="auto" w:fill="CCEEFF"/>
          </w:tcPr>
          <w:p>
            <w:pPr>
              <w:spacing w:after="0"/>
              <w:rPr>
                <w:sz w:val="18"/>
                <w:szCs w:val="18"/>
                <w:color w:val="auto"/>
              </w:rPr>
            </w:pPr>
          </w:p>
        </w:tc>
        <w:tc>
          <w:tcPr>
            <w:tcW w:w="8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QUALIFIED INVENTORY</w:t>
            </w:r>
          </w:p>
        </w:tc>
        <w:tc>
          <w:tcPr>
            <w:tcW w:w="500" w:type="dxa"/>
            <w:vAlign w:val="bottom"/>
            <w:shd w:val="clear" w:color="auto" w:fill="CCEEFF"/>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2.9.1</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500" w:type="dxa"/>
            <w:vAlign w:val="bottom"/>
          </w:tcPr>
          <w:p>
            <w:pPr>
              <w:spacing w:after="0"/>
              <w:rPr>
                <w:sz w:val="18"/>
                <w:szCs w:val="18"/>
                <w:color w:val="auto"/>
              </w:rPr>
            </w:pPr>
          </w:p>
        </w:tc>
      </w:tr>
      <w:tr>
        <w:trPr>
          <w:trHeight w:val="216"/>
        </w:trPr>
        <w:tc>
          <w:tcPr>
            <w:tcW w:w="1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6.1.1</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QUALIFICATIONS TO DO BUSINESS</w:t>
            </w:r>
          </w:p>
        </w:tc>
        <w:tc>
          <w:tcPr>
            <w:tcW w:w="500" w:type="dxa"/>
            <w:vAlign w:val="bottom"/>
            <w:shd w:val="clear" w:color="auto" w:fill="CCEEFF"/>
          </w:tcPr>
          <w:p>
            <w:pPr>
              <w:spacing w:after="0"/>
              <w:rPr>
                <w:sz w:val="18"/>
                <w:szCs w:val="18"/>
                <w:color w:val="auto"/>
              </w:rPr>
            </w:pPr>
          </w:p>
        </w:tc>
      </w:tr>
      <w:tr>
        <w:trPr>
          <w:trHeight w:val="216"/>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6.1.2</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w:t>
            </w:r>
          </w:p>
        </w:tc>
        <w:tc>
          <w:tcPr>
            <w:tcW w:w="500" w:type="dxa"/>
            <w:vAlign w:val="bottom"/>
          </w:tcPr>
          <w:p>
            <w:pPr>
              <w:spacing w:after="0"/>
              <w:rPr>
                <w:sz w:val="18"/>
                <w:szCs w:val="18"/>
                <w:color w:val="auto"/>
              </w:rPr>
            </w:pPr>
          </w:p>
        </w:tc>
      </w:tr>
      <w:tr>
        <w:trPr>
          <w:trHeight w:val="216"/>
        </w:trPr>
        <w:tc>
          <w:tcPr>
            <w:tcW w:w="1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8.2.1</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PERMITTED INDEBTEDNESS</w:t>
            </w:r>
          </w:p>
        </w:tc>
        <w:tc>
          <w:tcPr>
            <w:tcW w:w="500" w:type="dxa"/>
            <w:vAlign w:val="bottom"/>
            <w:shd w:val="clear" w:color="auto" w:fill="CCEEFF"/>
          </w:tcPr>
          <w:p>
            <w:pPr>
              <w:spacing w:after="0"/>
              <w:rPr>
                <w:sz w:val="18"/>
                <w:szCs w:val="18"/>
                <w:color w:val="auto"/>
              </w:rPr>
            </w:pPr>
          </w:p>
        </w:tc>
      </w:tr>
      <w:tr>
        <w:trPr>
          <w:trHeight w:val="23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8.2.4</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INVESTMENTS IN FOREIGN SUBSIDIARIES</w:t>
            </w:r>
          </w:p>
        </w:tc>
        <w:tc>
          <w:tcPr>
            <w:tcW w:w="500" w:type="dxa"/>
            <w:vAlign w:val="bottom"/>
          </w:tcPr>
          <w:p>
            <w:pPr>
              <w:spacing w:after="0"/>
              <w:rPr>
                <w:sz w:val="20"/>
                <w:szCs w:val="20"/>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60" w:type="dxa"/>
            <w:vAlign w:val="bottom"/>
          </w:tcPr>
          <w:p>
            <w:pPr>
              <w:spacing w:after="0"/>
              <w:rPr>
                <w:sz w:val="17"/>
                <w:szCs w:val="17"/>
                <w:color w:val="auto"/>
              </w:rPr>
            </w:pPr>
          </w:p>
        </w:tc>
        <w:tc>
          <w:tcPr>
            <w:tcW w:w="8840" w:type="dxa"/>
            <w:vAlign w:val="bottom"/>
          </w:tcPr>
          <w:p>
            <w:pPr>
              <w:spacing w:after="0"/>
              <w:rPr>
                <w:sz w:val="17"/>
                <w:szCs w:val="17"/>
                <w:color w:val="auto"/>
              </w:rPr>
            </w:pPr>
          </w:p>
        </w:tc>
      </w:tr>
      <w:tr>
        <w:trPr>
          <w:trHeight w:val="237"/>
        </w:trPr>
        <w:tc>
          <w:tcPr>
            <w:tcW w:w="88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spacing w:after="0"/>
              <w:rPr>
                <w:sz w:val="20"/>
                <w:szCs w:val="20"/>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1.1(A)</w:t>
            </w: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ASSIGNMENT AND ASSUMPTION AGREEMENT</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1.1(B)</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BORROWER JOINDER</w:t>
            </w:r>
          </w:p>
        </w:tc>
      </w:tr>
      <w:tr>
        <w:trPr>
          <w:trHeight w:val="216"/>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1.1(G)(1)</w:t>
            </w: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GUARANTOR JOINDER</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1.1(G)(2)</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GUARANTY AGREEMENT</w:t>
            </w:r>
          </w:p>
        </w:tc>
      </w:tr>
      <w:tr>
        <w:trPr>
          <w:trHeight w:val="216"/>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1.1(I)</w:t>
            </w: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INTERCOMPANY SUBORDINATION AGREEMENT</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1.1(N)(1)</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REVOLVING CREDIT NOTE</w:t>
            </w:r>
          </w:p>
        </w:tc>
      </w:tr>
      <w:tr>
        <w:trPr>
          <w:trHeight w:val="216"/>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1.1(N)(2)</w:t>
            </w: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SWING LOAN NOTE</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2.5.1</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LOAN REQUEST</w:t>
            </w:r>
          </w:p>
        </w:tc>
      </w:tr>
      <w:tr>
        <w:trPr>
          <w:trHeight w:val="216"/>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2.5.2</w:t>
            </w: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SWING LOAN REQUEST</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2.11</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LENDER JOINDER</w:t>
            </w:r>
          </w:p>
        </w:tc>
      </w:tr>
      <w:tr>
        <w:trPr>
          <w:trHeight w:val="198"/>
        </w:trPr>
        <w:tc>
          <w:tcPr>
            <w:tcW w:w="1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EXHIBIT 5.9.7(A)</w:t>
            </w:r>
          </w:p>
        </w:tc>
        <w:tc>
          <w:tcPr>
            <w:tcW w:w="660" w:type="dxa"/>
            <w:vAlign w:val="bottom"/>
            <w:shd w:val="clear" w:color="auto" w:fill="CCEEFF"/>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U.S. TAX COMPLIANCE CERTIFICATE (For Foreign Lenders That Are Not Partnerships For U.S. Federal Income</w:t>
            </w:r>
          </w:p>
        </w:tc>
      </w:tr>
      <w:tr>
        <w:trPr>
          <w:trHeight w:val="234"/>
        </w:trPr>
        <w:tc>
          <w:tcPr>
            <w:tcW w:w="8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 Purposes)</w:t>
            </w:r>
          </w:p>
        </w:tc>
      </w:tr>
      <w:tr>
        <w:trPr>
          <w:trHeight w:val="198"/>
        </w:trPr>
        <w:tc>
          <w:tcPr>
            <w:tcW w:w="1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EXHIBIT 5.9.7(B)</w:t>
            </w:r>
          </w:p>
        </w:tc>
        <w:tc>
          <w:tcPr>
            <w:tcW w:w="66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U.S. TAX COMPLIANCE CERTIFICATE (For Foreign Participants That Are Not Partnerships For U.S. Federal</w:t>
            </w:r>
          </w:p>
        </w:tc>
      </w:tr>
      <w:tr>
        <w:trPr>
          <w:trHeight w:val="234"/>
        </w:trPr>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Purposes)</w:t>
            </w:r>
          </w:p>
        </w:tc>
      </w:tr>
      <w:tr>
        <w:trPr>
          <w:trHeight w:val="198"/>
        </w:trPr>
        <w:tc>
          <w:tcPr>
            <w:tcW w:w="1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EXHIBIT 5.9.7(C)</w:t>
            </w:r>
          </w:p>
        </w:tc>
        <w:tc>
          <w:tcPr>
            <w:tcW w:w="660" w:type="dxa"/>
            <w:vAlign w:val="bottom"/>
            <w:shd w:val="clear" w:color="auto" w:fill="CCEEFF"/>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U.S. TAX COMPLIANCE CERTIFICATE (For Foreign Participants That Are Partnerships For U.S. Federal Income</w:t>
            </w:r>
          </w:p>
        </w:tc>
      </w:tr>
      <w:tr>
        <w:trPr>
          <w:trHeight w:val="234"/>
        </w:trPr>
        <w:tc>
          <w:tcPr>
            <w:tcW w:w="8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 Purposes)</w:t>
            </w:r>
          </w:p>
        </w:tc>
      </w:tr>
      <w:tr>
        <w:trPr>
          <w:trHeight w:val="198"/>
        </w:trPr>
        <w:tc>
          <w:tcPr>
            <w:tcW w:w="1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EXHIBIT 5.9.7(D)</w:t>
            </w:r>
          </w:p>
        </w:tc>
        <w:tc>
          <w:tcPr>
            <w:tcW w:w="66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U.S. TAX COMPLIANCE CERTIFICATE (For Foreign Lenders That Are Partnerships For U.S. Federal Income Tax</w:t>
            </w:r>
          </w:p>
        </w:tc>
      </w:tr>
      <w:tr>
        <w:trPr>
          <w:trHeight w:val="234"/>
        </w:trPr>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8.3.3</w:t>
            </w: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QUARTERLY COMPLIANCE CERTIFICATE</w:t>
            </w:r>
          </w:p>
        </w:tc>
      </w:tr>
      <w:tr>
        <w:trPr>
          <w:trHeight w:val="557"/>
        </w:trPr>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4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(vii)</w:t>
            </w:r>
          </w:p>
        </w:tc>
      </w:tr>
      <w:tr>
        <w:trPr>
          <w:trHeight w:val="44"/>
        </w:trPr>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8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8"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SECOND AMENDED AND RESTATED CREDIT AGREEMENT (as hereafter further amended, restated, amended and restated, modified or supplemented,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dated as of December 9, 2025, and is made by and among </w:t>
      </w:r>
      <w:r>
        <w:rPr>
          <w:rFonts w:ascii="Times New Roman" w:cs="Times New Roman" w:eastAsia="Times New Roman" w:hAnsi="Times New Roman"/>
          <w:sz w:val="18"/>
          <w:szCs w:val="18"/>
          <w:b w:val="1"/>
          <w:bCs w:val="1"/>
          <w:color w:val="auto"/>
        </w:rPr>
        <w:t>JOHNSON OUTDOORS INC.</w:t>
      </w:r>
      <w:r>
        <w:rPr>
          <w:rFonts w:ascii="Times New Roman" w:cs="Times New Roman" w:eastAsia="Times New Roman" w:hAnsi="Times New Roman"/>
          <w:sz w:val="18"/>
          <w:szCs w:val="18"/>
          <w:color w:val="auto"/>
        </w:rPr>
        <w:t xml:space="preserve">, a Wisconsin corporation, </w:t>
      </w:r>
      <w:r>
        <w:rPr>
          <w:rFonts w:ascii="Times New Roman" w:cs="Times New Roman" w:eastAsia="Times New Roman" w:hAnsi="Times New Roman"/>
          <w:sz w:val="18"/>
          <w:szCs w:val="18"/>
          <w:b w:val="1"/>
          <w:bCs w:val="1"/>
          <w:color w:val="auto"/>
        </w:rPr>
        <w:t>JOHNSON OUTDOORS WATERCRAFT INC.</w:t>
      </w:r>
      <w:r>
        <w:rPr>
          <w:rFonts w:ascii="Times New Roman" w:cs="Times New Roman" w:eastAsia="Times New Roman" w:hAnsi="Times New Roman"/>
          <w:sz w:val="18"/>
          <w:szCs w:val="18"/>
          <w:color w:val="auto"/>
        </w:rPr>
        <w:t xml:space="preserve">, a Delaware corporation, </w:t>
      </w:r>
      <w:r>
        <w:rPr>
          <w:rFonts w:ascii="Times New Roman" w:cs="Times New Roman" w:eastAsia="Times New Roman" w:hAnsi="Times New Roman"/>
          <w:sz w:val="18"/>
          <w:szCs w:val="18"/>
          <w:b w:val="1"/>
          <w:bCs w:val="1"/>
          <w:color w:val="auto"/>
        </w:rPr>
        <w:t>JOHNSON OUTDOORS MARINE ELECTRONICS,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an Alabama corporation,</w:t>
      </w:r>
      <w:r>
        <w:rPr>
          <w:rFonts w:ascii="Times New Roman" w:cs="Times New Roman" w:eastAsia="Times New Roman" w:hAnsi="Times New Roman"/>
          <w:sz w:val="18"/>
          <w:szCs w:val="18"/>
          <w:b w:val="1"/>
          <w:bCs w:val="1"/>
          <w:color w:val="auto"/>
        </w:rPr>
        <w:t xml:space="preserve"> JOHNSON OUTDOORS DIVING LLC</w:t>
      </w:r>
      <w:r>
        <w:rPr>
          <w:rFonts w:ascii="Times New Roman" w:cs="Times New Roman" w:eastAsia="Times New Roman" w:hAnsi="Times New Roman"/>
          <w:sz w:val="18"/>
          <w:szCs w:val="18"/>
          <w:color w:val="auto"/>
        </w:rPr>
        <w:t>, a Delaware limited liability company,</w:t>
      </w:r>
      <w:r>
        <w:rPr>
          <w:rFonts w:ascii="Times New Roman" w:cs="Times New Roman" w:eastAsia="Times New Roman" w:hAnsi="Times New Roman"/>
          <w:sz w:val="18"/>
          <w:szCs w:val="18"/>
          <w:b w:val="1"/>
          <w:bCs w:val="1"/>
          <w:color w:val="auto"/>
        </w:rPr>
        <w:t xml:space="preserve"> UNDER SEA INDUSTRIES, INC.</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Delaware corporation, and </w:t>
      </w:r>
      <w:r>
        <w:rPr>
          <w:rFonts w:ascii="Times New Roman" w:cs="Times New Roman" w:eastAsia="Times New Roman" w:hAnsi="Times New Roman"/>
          <w:sz w:val="18"/>
          <w:szCs w:val="18"/>
          <w:b w:val="1"/>
          <w:bCs w:val="1"/>
          <w:color w:val="auto"/>
        </w:rPr>
        <w:t>JOHNSON OUTDOORS GEAR, INC.</w:t>
      </w:r>
      <w:r>
        <w:rPr>
          <w:rFonts w:ascii="Times New Roman" w:cs="Times New Roman" w:eastAsia="Times New Roman" w:hAnsi="Times New Roman"/>
          <w:sz w:val="18"/>
          <w:szCs w:val="18"/>
          <w:color w:val="auto"/>
        </w:rPr>
        <w:t>, a Delaware corporation (each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each of the other BORROWERS from time to time party hereto, each of the GUARANTORS (as hereinafter defined) from time to time party hereto, the LENDERS (as hereinafter defined), and </w:t>
      </w: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in its capacity the Administrative Agent (as hereinafter defined), Swing Loan Lender (as hereinafter defined) and Issuing Lender (as hereinafter defined).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the Borrowers, the Lenders and the Administrative Agent, are parties to that certain Amended and Restated Credit Agreement dated as of November 15, 2017, by and among the Borrowers, the Administrative Agent and the Lenders party thereto, as amended pursuant to that certain First Amendment to Amended and Restated Credit Agreement by and among the Borrowers, the Administrative Agent and the Lenders, dated as of July 15, 2021, as amended pursuant to that certain LIBOR Index Replacement and Conforming Changes Notice and Amendment Letter dated as of June 14, 2023, which was delivered by Administrative Agent to Borrower Agent, and as amended pursuant to that certain Second Amendment to Amended and Restated Credit Agreement by and among the Borrowers, the Administrative Agent and the Lenders, dated January 29, 2025 (as amended, the “</w:t>
      </w:r>
      <w:r>
        <w:rPr>
          <w:rFonts w:ascii="Times New Roman" w:cs="Times New Roman" w:eastAsia="Times New Roman" w:hAnsi="Times New Roman"/>
          <w:sz w:val="18"/>
          <w:szCs w:val="18"/>
          <w:b w:val="1"/>
          <w:bCs w:val="1"/>
          <w:color w:val="auto"/>
        </w:rPr>
        <w:t>Existing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lenders thereunder have made available to the Borrowers a revolving credit facility in an aggregate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to exceed $50,000,000; and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have requested that the Revolving Credit Commitment (as defined in the Existing Credit Agreement) be extended, and that certain other amendments be made to the Existing Credit Agreement. Subject to the terms and conditions hereof, the parties agree that, effective as of the date hereof, the Existing Credit Agreement shall for the convenience of such parties be amended and restated in its entirety as set forth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their mutual covenants and agreements hereinafter set forth and intending to be legally bound hereby, the parties hereto covenant and agree as follows:</w:t>
      </w:r>
    </w:p>
    <w:p>
      <w:pPr>
        <w:spacing w:after="0" w:line="162" w:lineRule="exact"/>
        <w:rPr>
          <w:sz w:val="20"/>
          <w:szCs w:val="20"/>
          <w:color w:val="auto"/>
        </w:rPr>
      </w:pPr>
    </w:p>
    <w:p>
      <w:pPr>
        <w:ind w:left="4960" w:hanging="588"/>
        <w:spacing w:after="0"/>
        <w:tabs>
          <w:tab w:leader="none" w:pos="4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In addition to words and terms defined elsewhere in this Agreement, the following words and terms shall have the following meanings, respectively, unless the context hereof clearly requires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xml:space="preserve"> shall mean any account, contract right, general intangible, chattel paper, instrument or document representing any right to payment for goods sold or services rendered, whether or not earned by performance and whether or not evidenced by a contract, instrument or document, which is now owned or hereafter acquired by a Loan Party. All Accounts, whether Qualified Accounts or not, shall be subject to the Lenders’ prior security interest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xml:space="preserve"> shall mean any Person who is or who may become obligated to a Loan Party under, with respect to, or on account of,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Added Term Loans</w:t>
      </w:r>
      <w:r>
        <w:rPr>
          <w:rFonts w:ascii="Times New Roman" w:cs="Times New Roman" w:eastAsia="Times New Roman" w:hAnsi="Times New Roman"/>
          <w:sz w:val="18"/>
          <w:szCs w:val="18"/>
          <w:color w:val="auto"/>
        </w:rPr>
        <w:t xml:space="preserve"> shall have the meaning assigned to that term in Section 2.11 [Increase in Commitments and Added Term Loans].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shall mean PNC Bank, National Association, and its successors and assigns, in its capacity as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Administrative Agent’s Fee</w:t>
      </w:r>
      <w:r>
        <w:rPr>
          <w:rFonts w:ascii="Times New Roman" w:cs="Times New Roman" w:eastAsia="Times New Roman" w:hAnsi="Times New Roman"/>
          <w:sz w:val="18"/>
          <w:szCs w:val="18"/>
          <w:color w:val="auto"/>
        </w:rPr>
        <w:t xml:space="preserve"> shall have the meaning specified in Section 10.9 [Administrative Agent’s Fee].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Administrative Agent’s Letter</w:t>
      </w:r>
      <w:r>
        <w:rPr>
          <w:rFonts w:ascii="Times New Roman" w:cs="Times New Roman" w:eastAsia="Times New Roman" w:hAnsi="Times New Roman"/>
          <w:sz w:val="18"/>
          <w:szCs w:val="18"/>
          <w:color w:val="auto"/>
        </w:rPr>
        <w:t xml:space="preserve"> shall have the meaning specified in Section 10.9 [Administrative Agent’s Fee].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shall mean an administrative questionnaire in a form supplied by the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xml:space="preserve"> shall mean (a) any EEA Financial Institution or (b) any UK Financial Institution.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as to any Person shall mean any other Person (i) which directly or indirectly controls, is controlled by, or is under common control with such Person, (ii) which beneficially owns or holds 5% or more of any class of the voting or other equity interests of such Person, or (iii) 5% or more of any class of voting interests or other equity interests of which is beneficially owned or held, directly or indirectly, by such Person. For purposes of this definition, "control" of a Person means the power, directly or indirectly, to direct or cause the direction of the management and policies of such Person, whether by contract or otherwise.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shall mean (a) the U.S. Foreign Corrupt Practices Act of 1977, as amended; (b) the U.K. Bribery Act 2010, as amended; and (c) any other applicable Law relating to anti-bribery or anti-corruption in any jurisdiction in which any Loan Party is located or doing business.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xml:space="preserve"> shall mean (a) the Bank Secrecy Act and the Uniting and Strengthening America by Providing Appropriate Tools Required to Intercept and Obstruct Terrorism (USA PATRIOT) Act of 2001, each as amended; (b) the U.K. Proceeds of Crime Act 2002, the Money Laundering Regulations 2017 and the Terrorist Asset-Freezing Act 2010, each as amended; and (c) any other applicable Law relating to anti-money laundering and countering the financing of terrorism and related financial record keeping and reporting requirements in any jurisdiction in which any Loan Party is located or doing business.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Applicable Commitment Fee Rate</w:t>
      </w:r>
      <w:r>
        <w:rPr>
          <w:rFonts w:ascii="Times New Roman" w:cs="Times New Roman" w:eastAsia="Times New Roman" w:hAnsi="Times New Roman"/>
          <w:sz w:val="18"/>
          <w:szCs w:val="18"/>
          <w:color w:val="auto"/>
        </w:rPr>
        <w:t xml:space="preserve"> shall mean the percentage rate per annum based on the Net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“Commitment Fee.”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Applicable Letter of Credit Fee Rate</w:t>
      </w:r>
      <w:r>
        <w:rPr>
          <w:rFonts w:ascii="Times New Roman" w:cs="Times New Roman" w:eastAsia="Times New Roman" w:hAnsi="Times New Roman"/>
          <w:sz w:val="18"/>
          <w:szCs w:val="18"/>
          <w:color w:val="auto"/>
        </w:rPr>
        <w:t xml:space="preserve"> shall mean the percentage rate per annum based on the Net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“Letter of Credit Fee.”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shall mean, as applicable:</w:t>
      </w:r>
    </w:p>
    <w:p>
      <w:pPr>
        <w:spacing w:after="0" w:line="225" w:lineRule="exact"/>
        <w:rPr>
          <w:sz w:val="20"/>
          <w:szCs w:val="20"/>
          <w:color w:val="auto"/>
        </w:rPr>
      </w:pPr>
    </w:p>
    <w:p>
      <w:pPr>
        <w:ind w:firstLine="1304"/>
        <w:spacing w:after="0" w:line="282" w:lineRule="auto"/>
        <w:tabs>
          <w:tab w:leader="none" w:pos="19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spread to be added to the Base Rate applicable to Revolving Credit Loans under the Base Rate Option based on the Net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“Revolving Credit Base Rate Spread”, or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spread to be added to the Term SOFR Rate applicable to Revolving Credit Loans under the Term SOFR Rate Option based on the Net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“Revolving Credit Term SOFR Rate Spread”.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shall mean any Fund that is administered or managed by (i) a Lender, (ii) an Affiliate of a Lender or (iii) an entity or an Affiliate of an entity that administers or manages a Lender.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xml:space="preserve"> shall mean an assignment and assumption agreement entered into by a Lender and an assignee permitted under Section 11.8 [Successors and Assigns], in substantially the form of </w:t>
      </w:r>
      <w:r>
        <w:rPr>
          <w:rFonts w:ascii="Times New Roman" w:cs="Times New Roman" w:eastAsia="Times New Roman" w:hAnsi="Times New Roman"/>
          <w:sz w:val="18"/>
          <w:szCs w:val="18"/>
          <w:u w:val="single" w:color="auto"/>
          <w:color w:val="auto"/>
        </w:rPr>
        <w:t>Exhibit 1.1(A)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xml:space="preserve"> shall mean, with respect to any Loan Party, the Chief Executive Officer, President, Chief Financial Officer, Director of Global Tax and Treasury or Assistant Treasurer of such Loan Party, any manager or the members (as applicable) in the case of any Loan Party which is a limited liability company, or such other individuals, designated by written notice to the Administrative Agent from the Borrowers, authorized to execute notices, reports and other documents on behalf of such Loan Party required hereunder. The Borrowers may amend such list of individuals from time to time by giving written notice of such amendment to the Administrative Agent.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xml:space="preserve"> shall mean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xml:space="preserve">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shall mean, for any day, a fluctuating per annum rate of interest equal to the highest of (i) the Overnight Bank Funding Rate,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0.5%, (ii) the Prime Rate, and (iii) the Daily Simple SOFR,</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100 basis points (1.0%), so long as Daily Simple SOFR is offered, ascertainable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unlawful; provided, however, if the Base Rate as determined above would be less than zero, then such rate shall be deemed to be zero. Any change in the Base Rate (or any component thereof) shall take effect at the opening of business on the day such change occurs without notice to the Borrowers. Notwithstanding anything to the contrary contained herein, in the case of any event specified in Section 4.4.1 [Unascertainable; Increased Costs] or Section 4.4.2 [Illegality], to the extent any such determination affects the calculation of the Base Rate, the definition hereof shall be calculated without reference to clause (iii) until the circumstances giving rise to such event no longer exist.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xml:space="preserve"> shall mean a Loan that bears interest based on the Base Rate.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xml:space="preserve"> shall mean the option of the Borrowers to have Loans bear interest at the rate and under the terms set forth in Section 4.1.1(i) [Revolving Credit Base Rate Option].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shall have the meaning specified in Section 4.4.4 [Benchmark Replacement Setting].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xml:space="preserve"> shall mean, for each Borrower, each of the following: (a) each individual, if any, who, directly or indirectly, owns 25% or more of such Borrower’s Equity Interests; and (b) a single individual with significant responsibility to control, manage, or direct such Borrower.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xml:space="preserve">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shall have the meaning specified in the introductory paragraph.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Borrower Agent</w:t>
      </w:r>
      <w:r>
        <w:rPr>
          <w:rFonts w:ascii="Times New Roman" w:cs="Times New Roman" w:eastAsia="Times New Roman" w:hAnsi="Times New Roman"/>
          <w:sz w:val="18"/>
          <w:szCs w:val="18"/>
          <w:color w:val="auto"/>
        </w:rPr>
        <w:t xml:space="preserve"> shall have the meaning specified in Section 11.13 [Borrower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Borrower Joinder</w:t>
      </w:r>
      <w:r>
        <w:rPr>
          <w:rFonts w:ascii="Times New Roman" w:cs="Times New Roman" w:eastAsia="Times New Roman" w:hAnsi="Times New Roman"/>
          <w:sz w:val="18"/>
          <w:szCs w:val="18"/>
          <w:color w:val="auto"/>
        </w:rPr>
        <w:t xml:space="preserve"> shall mean a joinder by a Person as a Borrower under the Loan Documents in the form of </w:t>
      </w:r>
      <w:r>
        <w:rPr>
          <w:rFonts w:ascii="Times New Roman" w:cs="Times New Roman" w:eastAsia="Times New Roman" w:hAnsi="Times New Roman"/>
          <w:sz w:val="18"/>
          <w:szCs w:val="18"/>
          <w:u w:val="single" w:color="auto"/>
          <w:color w:val="auto"/>
        </w:rPr>
        <w:t>Exhibit 1.1(B).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Borrowers Equity Interests</w:t>
      </w:r>
      <w:r>
        <w:rPr>
          <w:rFonts w:ascii="Times New Roman" w:cs="Times New Roman" w:eastAsia="Times New Roman" w:hAnsi="Times New Roman"/>
          <w:sz w:val="18"/>
          <w:szCs w:val="18"/>
          <w:color w:val="auto"/>
        </w:rPr>
        <w:t xml:space="preserve"> shall have the meaning specified in Section 6.1.2 [Subsidiaries and Owners; Investment Companies].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shall mean at any time the sum of (a) 80% of Qualified Accounts (“</w:t>
      </w:r>
      <w:r>
        <w:rPr>
          <w:rFonts w:ascii="Times New Roman" w:cs="Times New Roman" w:eastAsia="Times New Roman" w:hAnsi="Times New Roman"/>
          <w:sz w:val="18"/>
          <w:szCs w:val="18"/>
          <w:u w:val="single" w:color="auto"/>
          <w:color w:val="auto"/>
        </w:rPr>
        <w:t>Accounts Portion</w:t>
      </w:r>
      <w:r>
        <w:rPr>
          <w:rFonts w:ascii="Times New Roman" w:cs="Times New Roman" w:eastAsia="Times New Roman" w:hAnsi="Times New Roman"/>
          <w:sz w:val="18"/>
          <w:szCs w:val="18"/>
          <w:color w:val="auto"/>
        </w:rPr>
        <w:t>”), plus (b) 50% of Qualified Inventory (“</w:t>
      </w:r>
      <w:r>
        <w:rPr>
          <w:rFonts w:ascii="Times New Roman" w:cs="Times New Roman" w:eastAsia="Times New Roman" w:hAnsi="Times New Roman"/>
          <w:sz w:val="18"/>
          <w:szCs w:val="18"/>
          <w:u w:val="single" w:color="auto"/>
          <w:color w:val="auto"/>
        </w:rPr>
        <w:t>Inventory Portion</w:t>
      </w:r>
      <w:r>
        <w:rPr>
          <w:rFonts w:ascii="Times New Roman" w:cs="Times New Roman" w:eastAsia="Times New Roman" w:hAnsi="Times New Roman"/>
          <w:sz w:val="18"/>
          <w:szCs w:val="18"/>
          <w:color w:val="auto"/>
        </w:rPr>
        <w:t>”), plus (c) any reserves established by the Administrative Agent in its Permitted Discretion.</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xml:space="preserve"> shall mean, with respect to any Loan, the date of the making, renewal or conversion thereof, which shall be a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Borrowing Tranche</w:t>
      </w:r>
      <w:r>
        <w:rPr>
          <w:rFonts w:ascii="Times New Roman" w:cs="Times New Roman" w:eastAsia="Times New Roman" w:hAnsi="Times New Roman"/>
          <w:sz w:val="18"/>
          <w:szCs w:val="18"/>
          <w:color w:val="auto"/>
        </w:rPr>
        <w:t xml:space="preserve"> shall mean specified portions of Loans outstanding as follows: (i) any Loans to which a Term SOFR Rate Option applies which become subject to the same Interest Rate Option under the same Loan Request by the Borrowers and which have the same Interest Period shall constitute one Borrowing Tranche, and (ii) all Loans to which a Base Rate Option applies shall constitute one Borrowing Tranche.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any day other than a Saturday or Sunday or a legal holiday on which commercial banks are authorized or required to be closed for business in Pittsburgh, Pennsylvania (or, if otherwise, the Lending Office of the Administrative Agent); provided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shall mean for any period, with respect to any Person, the aggregate of all expenditures by such Person for the acquisition or leasing (pursuant to a capital lease) of fixed or capital assets or additions to equipment (including replacements, capitalized repairs and improvements during such period) which are required to be capitalized under GAAP on a consolidated balance sheet of such Person.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shall mean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xml:space="preserve"> shall mean, to pledge and deposit with or deliver to the Administrative Agent, for the benefit of one or more of the Issuing Lender or the Lenders, as collateral for Letter of Credit Obligations or obligations of Lenders to fund participations in respect of Letter of Credit Obligations, cash or deposit account balances or, if the Administrative Agent and each applicable Issuing Lender shall agree in their sole discretion, other credit support, in each case pursuant to documentation in form and substance satisfactory to the Administrative Agent and each applicable Issuing Lender.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Cash Management Agreements</w:t>
      </w:r>
      <w:r>
        <w:rPr>
          <w:rFonts w:ascii="Times New Roman" w:cs="Times New Roman" w:eastAsia="Times New Roman" w:hAnsi="Times New Roman"/>
          <w:sz w:val="18"/>
          <w:szCs w:val="18"/>
          <w:color w:val="auto"/>
        </w:rPr>
        <w:t xml:space="preserve"> shall have the meaning specified in Section 2.6.6 [Swing Loans Under Cash Management Agreements].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xml:space="preserve"> shall mean any Person that, at the time it enters into an Other Lender Provided Financial Service Product, is a Lender or an Affiliate of a Lender, in its capacity as a party to such Other Lender Provided Financial Service Product.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xml:space="preserve"> shall mean the Commodity Exchange Act (7 U.S.C.§1 et seq.), as amended from time to time, and any successor statute.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Certificate of Beneficial Ownership</w:t>
      </w:r>
      <w:r>
        <w:rPr>
          <w:rFonts w:ascii="Times New Roman" w:cs="Times New Roman" w:eastAsia="Times New Roman" w:hAnsi="Times New Roman"/>
          <w:sz w:val="18"/>
          <w:szCs w:val="18"/>
          <w:color w:val="auto"/>
        </w:rPr>
        <w:t xml:space="preserve"> means, for each Borrower, a certificate in form and substance acceptable to the Administrative Agent (as amended or modified by the Administrative Agent from time to time in its sole discretion), certifying, among other things, the Beneficial Owner of such Borrower.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CFTC</w:t>
      </w:r>
      <w:r>
        <w:rPr>
          <w:rFonts w:ascii="Times New Roman" w:cs="Times New Roman" w:eastAsia="Times New Roman" w:hAnsi="Times New Roman"/>
          <w:sz w:val="18"/>
          <w:szCs w:val="18"/>
          <w:color w:val="auto"/>
        </w:rPr>
        <w:t xml:space="preserve"> shall mean the Commodity Futures Trading Commission.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shall mean the occurrence, after the date of this Agreement, of any of the following: (i) the adoption or taking effect of any Law, (ii) any change in any Law or in the administration, interpretation, implementation or application thereof by any Official Body or (iii) the making or issuance of any request, rule, guideline or directive (whether or not having the force of Law) by any Official Body;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shall mean (a) any “person” or “group” (as such terms are used in Sections 13(d) and 14(d)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other than the Johnson Family, shall become, or obtain rights (whether by means of warrants, options or otherwise) to become, the “beneficial owner” (as defined in Rules 13(d)-3 and 13(d)-5 under the Exchange Act), directly or indirectly, of more than 40% of the Capital Stock of the Company; (b) the Company shall cease to own, free and clear of all Liens or other encumbrances, directly or indirectly, 99% or more of the outstanding voting Borrowers Equity Interests or Subsidiary Equity Interests on a fully diluted basis; or (c) any merger, consolidation or sale of substantially all of the property or assets of any Loan Party except as permitted by Section 8.2.6 [Liquidations, Mergers, Consolidations, Acquisitions].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xml:space="preserve"> shall have the meaning specified in Section 10.11 [No Reliance on Administrative Agent's Customer Identification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refers to whether such Loan, or the advances comprising such Loans, are Revolving Credit Loans or Swing Loans and, when used in reference to any Lender, refers to whether such Lender has any (a) outstanding Revolving Credit Loans or Revolving Credit Commitments, (b) outstanding Swing Loans or Swing Loan Commitments or (c) if applicable, outstanding Added Term Loans or New Tranche of Term Loan Commitments pursuant to Section 2.11 [Increase in Commitments and Added Term Loans].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mean December 9,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shall mean the Internal Revenue Code of 1986, as the same may be amended or supplemented from time to time, and any successor statute of similar import, and the rules and regulations thereunder, as from time to time in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shall mean the personal and/or real property of any Person granted as collateral to secure the Obligations for the benefit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Parties.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the Security Agreement and any other agreement, document or instrument granting a Lien in Collateral for the benefit of the Secured Parties.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shall mean as to any Lender, its Revolving Credit Commitment, and, in the case of the Swing Loan Lender, its Swing Loan Commitment (but not the aggregate of its Revolving Credit Commitment and its Swing Loan Commitment), and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shall mean the aggregate of the Revolving Credit Commitments and Swing Loan Commitment of all of the Lenders.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shall have the meaning specified in Section 2.3 [Commitment Fees].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shall have the meaning specified in Section 11.5.4 [Platform].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shall mean Johnson Outdoors Inc., a Wisconsin corporation.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Compliance Authority</w:t>
      </w:r>
      <w:r>
        <w:rPr>
          <w:rFonts w:ascii="Times New Roman" w:cs="Times New Roman" w:eastAsia="Times New Roman" w:hAnsi="Times New Roman"/>
          <w:sz w:val="18"/>
          <w:szCs w:val="18"/>
          <w:color w:val="auto"/>
        </w:rPr>
        <w:t xml:space="preserve"> shall mean (a) any Official Body of the United States (including the U.S. Department of the Treasury, OFAC, and the U.S. Department of State), the European Union, the United Kingdom, or Canada; (b) the United Nations Security Council; and (c) any other Official Body with jurisdiction over the parties to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shall have the meaning specified in Section 8.3.3 [Certificate of Borrowers].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shall mean, with respect to the Term SOFR Rate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or the Benchmark Replacement exists, in such other manner of administration as the Administrative Agent decides is reasonably necessary in connection with the administration of this Agreement and the other Loan Documents).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xml:space="preserve"> shall mean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for any period of determination shall mean (i) the sum of, without duplication, net income, depreciation, amortization, other non-cash charges to net income, interest expense and income tax expense, non-cash stock compensation expenses and non-cash pension expenses, and other non-recurring expenses and charges agreed to by the Administrative Agent,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non-cash credits to net income, in each case of the Loan Parties and their Subsidiaries for such period determined and consolidated in accordance with GAAP. Notwithstanding the foregoing, to the extent a Permitted Acquisition has been consummated during such period, pro forma Consolidated EBITDA attributable to such Permitted Acquisition shall be included in Consolidated EBITDA.</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shall mean (a) each Borrower and each Borrower’s Subsidiaries; (b) each Guarantor and any Person who has pledged (or will pledge) Collateral under any Loan Document; and (c) each Person that, directly or indirectly, controls (as such term is defined by any Compliance Authority) a Person described in clauses (a) and (b) above.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Covered Property</w:t>
      </w:r>
      <w:r>
        <w:rPr>
          <w:rFonts w:ascii="Times New Roman" w:cs="Times New Roman" w:eastAsia="Times New Roman" w:hAnsi="Times New Roman"/>
          <w:sz w:val="18"/>
          <w:szCs w:val="18"/>
          <w:color w:val="auto"/>
        </w:rPr>
        <w:t xml:space="preserve"> shall mean any property: (a) required to be reported as blocked property under 31 C.F.R. § 501.603, as amended; (b) owned, directly or indirectly, by, or due to or from, a Sanctioned Person subject to blocking or comprehensive Sanctions; (c) in which a Sanctioned Person subject to blocking or comprehensive Sanctions otherwise holds any interest; (d) located or originated in, or otherwise subject to restrictions due to its ties to, a Sanctioned Jurisdiction; or (e) that otherwise could cause any actual or potential violation by the Lenders or the Administrative Agent of any applicable International Trade Law if the Lenders or the Administrative Agent were to obtain an encumbrance on, lien on, pledge, or security interest in such property, or provide services in consideration of such property.</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the interest rate per annum determined by the Administrative Agent (rounded upwards, at the Administrative Agent’s discretion, to the nearest 1/100th of 1%) equal to SOFR for the day (the “</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xml:space="preserve"> 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shall mean, subject to Section 2.10.2 [Defaulting Lender Cure],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spacing w:after="0" w:line="3" w:lineRule="exact"/>
        <w:rPr>
          <w:sz w:val="20"/>
          <w:szCs w:val="20"/>
          <w:color w:val="auto"/>
        </w:rPr>
      </w:pPr>
    </w:p>
    <w:p>
      <w:pPr>
        <w:jc w:val="both"/>
        <w:ind w:firstLine="8"/>
        <w:spacing w:after="0" w:line="251" w:lineRule="auto"/>
        <w:tabs>
          <w:tab w:leader="none" w:pos="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Administrative Agent, the Issuing Lender, the Swing Loan Lender or any other Lender any other amount required to be paid by it hereunder (including in respect of its participation in Letters of Credit or Swing Loans) within two (2) Business Days of the date when due, (b) has notified the Borrower, the Administrative Agent, the Issuing Lender or the Swing Loan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an Official Body so long as such ownership interest does not result in or provide such Lender with immunity from the jurisdiction of courts within the United States or from the enforcement of judgments or writs of attachment on its assets or permit such Lender (or such Official Body)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2.10.2 [Defaulting Lender Cure]) upon delivery of written notice of such determination to the Borrower, the Issuing Lender, the Swing Loan Lender and each Lender.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1300"/>
        <w:spacing w:after="0"/>
        <w:rPr>
          <w:sz w:val="20"/>
          <w:szCs w:val="20"/>
          <w:color w:val="auto"/>
        </w:rPr>
      </w:pPr>
      <w:r>
        <w:rPr>
          <w:rFonts w:ascii="Times New Roman" w:cs="Times New Roman" w:eastAsia="Times New Roman" w:hAnsi="Times New Roman"/>
          <w:sz w:val="18"/>
          <w:szCs w:val="18"/>
          <w:u w:val="single" w:color="auto"/>
          <w:color w:val="auto"/>
        </w:rPr>
        <w:t>Dollar, Dollars, U.S. Dollars</w:t>
      </w:r>
      <w:r>
        <w:rPr>
          <w:rFonts w:ascii="Times New Roman" w:cs="Times New Roman" w:eastAsia="Times New Roman" w:hAnsi="Times New Roman"/>
          <w:sz w:val="18"/>
          <w:szCs w:val="18"/>
          <w:color w:val="auto"/>
        </w:rPr>
        <w:t xml:space="preserve"> and the symbol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shall mean, in each case, the lawful currency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Drawing Date</w:t>
      </w:r>
      <w:r>
        <w:rPr>
          <w:rFonts w:ascii="Times New Roman" w:cs="Times New Roman" w:eastAsia="Times New Roman" w:hAnsi="Times New Roman"/>
          <w:sz w:val="18"/>
          <w:szCs w:val="18"/>
          <w:color w:val="auto"/>
        </w:rPr>
        <w:t xml:space="preserve"> shall have the meaning specified in Section 2.9.3.1 [Disbursements, Reimbursement].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xml:space="preserve"> shall mean any of the member states of the European Union, Iceland, Liechtenstein, and Norway.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xml:space="preserve"> shall mean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shall mean the date indicated in a document or agreement to be the date on which such document or agreement becomes effective, or, if there is no such indication, the date of execution of such document or agreement.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Effective Federal Funds Rate</w:t>
      </w:r>
      <w:r>
        <w:rPr>
          <w:rFonts w:ascii="Times New Roman" w:cs="Times New Roman" w:eastAsia="Times New Roman" w:hAnsi="Times New Roman"/>
          <w:sz w:val="18"/>
          <w:szCs w:val="18"/>
          <w:color w:val="auto"/>
        </w:rPr>
        <w:t xml:space="preserve"> shall mean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xml:space="preserve"> shall mean an “eligible contract participant” as defined in the CEA and regulations thereunder.</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Eligibility Date</w:t>
      </w:r>
      <w:r>
        <w:rPr>
          <w:rFonts w:ascii="Times New Roman" w:cs="Times New Roman" w:eastAsia="Times New Roman" w:hAnsi="Times New Roman"/>
          <w:sz w:val="18"/>
          <w:szCs w:val="18"/>
          <w:color w:val="auto"/>
        </w:rPr>
        <w:t xml:space="preserve"> shall mean,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shall mean all applicable federal, state,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(i) pollution or pollution control; (ii) protection of human health from exposure to regulated substances; (iii) protection of the environment and/or natural resources; (iv) employee safety in the workplace; (v) the presence, use, management, generation, manufacture, processing, extraction, treatment, recycling, refining, reclamation, labeling, packaging, sale, transport, storage, collection, distribution, disposal or release or threat of release of regulated substances; (vi) the presence of contamination; (vii) the protection of endangered or threatened species; and (viii) the protection of environmentally sensitive areas.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xml:space="preserve"> shall have the meaning specified in Section 6.1.2 [Subsidiaries and Owners; Investment Companies].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shall mean the Employee Retirement Income Security Act of 1974, as the same may be amended or supplemented from time to time, and any successor statute of similar import, and the rules and regulations thereunder, as from time to time in effect.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xml:space="preserve"> shall mean (a) with respect to a Pension Plan, a reportable event under Section 4043 of ERISA as to which event (after taking into account notice waivers provided for in the regulations) there is a duty to give notice to the PBGC; (b) a withdrawal by Borrowers or any member of the ERISA Group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Borrowers or any member of the ERISA Group from a Multiemployer Plan, notification that a Multiemployer Plan is in reorganization,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which constitutes grounds under Section 4042 of ERISA for the termination of, or the appointment of a trustee to administer, any Pension Plan or Multiemployer Plan; (f) the determination that any Pension Plan or Multiemployer Plan is considered an at-risk plan or a plan in endangered or critical status within the meaning of Sections 430.431 and 432 of the Code or Sections 303, 304 and 305 of ERISA; or (g) the imposition of any liability under Title IV of ERISA, other than for PBGC premiums due but not delinquent under Section 4007 of ERISA, upon Borrowers or any member of the ERISA Group.</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ERISA Group</w:t>
      </w:r>
      <w:r>
        <w:rPr>
          <w:rFonts w:ascii="Times New Roman" w:cs="Times New Roman" w:eastAsia="Times New Roman" w:hAnsi="Times New Roman"/>
          <w:sz w:val="18"/>
          <w:szCs w:val="18"/>
          <w:color w:val="auto"/>
        </w:rPr>
        <w:t xml:space="preserve"> shall mean, at any time, the Borrowers and all members of a controlled group of corporations and all trades or businesses (whether or not incorporated) under common control and all other entities which, together with the Borrowers, are treated as a single employer under Section 414 of the Code or Section 4001(b)(1) of ERISA.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Section 10.13(a).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left="1300"/>
        <w:spacing w:after="0"/>
        <w:rPr>
          <w:sz w:val="20"/>
          <w:szCs w:val="20"/>
          <w:color w:val="auto"/>
        </w:rPr>
      </w:pP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it in Section 10.13(d).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it in Section 10.13(d).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it in Section 10.13(d).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it in Section 10.13(d).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xml:space="preserve"> shall mean the EU Bail-In Legislation Schedule published by the Loan Market Association (or any successor person), as in effect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shall mean any of the events described in Section 9.1 [Events of Default] and referred to therein as an “Event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Excluded Hedge Liability or Liabilities</w:t>
      </w:r>
      <w:r>
        <w:rPr>
          <w:rFonts w:ascii="Times New Roman" w:cs="Times New Roman" w:eastAsia="Times New Roman" w:hAnsi="Times New Roman"/>
          <w:sz w:val="18"/>
          <w:szCs w:val="18"/>
          <w:color w:val="auto"/>
        </w:rPr>
        <w:t xml:space="preserve"> shall mean,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shall mean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Commitment pursuant to a law in effect on the date on which (a) such Lender acquires such interest in such Loan or Commitment (other than pursuant to an assignment request by the Borrowers under Section 5.13 [Replacement of a Lender]) or (b) such Lender changes its lending office, except in each case to the extent that, pursuant to Section 5.9.7 [Status of Lenders], amounts with respect to such Taxes were payable either to such Lender’s assignor immediately before such Lender became a party hereto or to such Lender immediately before it changed its lending office, (iii) Taxes attributable to such Recipient’s failure to comply with Section 5.9.7 [Status of Lenders], and (iv) any U.S. federal withholding Taxes imposed under FATCA (except to the extent imposed due to the failure of the Borrowers to provide documentation or information to the IRS).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xml:space="preserve"> shall have the meaning specified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shall mean those letters of credit existing on the Closing Date and identified on Schedule 2.9.1.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shall mean, with respect to the Revolving Credit Commitments, December 9, 2029.</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Foreign Currency Hedge</w:t>
      </w:r>
      <w:r>
        <w:rPr>
          <w:rFonts w:ascii="Times New Roman" w:cs="Times New Roman" w:eastAsia="Times New Roman" w:hAnsi="Times New Roman"/>
          <w:sz w:val="18"/>
          <w:szCs w:val="18"/>
          <w:color w:val="auto"/>
        </w:rPr>
        <w:t xml:space="preserve"> shall mean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Foreign Currency Hedge Liabilities</w:t>
      </w:r>
      <w:r>
        <w:rPr>
          <w:rFonts w:ascii="Times New Roman" w:cs="Times New Roman" w:eastAsia="Times New Roman" w:hAnsi="Times New Roman"/>
          <w:sz w:val="18"/>
          <w:szCs w:val="18"/>
          <w:color w:val="auto"/>
        </w:rPr>
        <w:t xml:space="preserve"> shall have the meaning assigned in the definition of Lender Provided Foreign Currency Hedge.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xml:space="preserve"> shall mean (i) if all the Borrowers are U.S. Persons, a Lender that is not a U.S. Person, and (ii) if any of the Borrowers is not a U.S. Person, a Lender that is resident or organized under the Laws of a jurisdiction other than that in which the Borrowers is resident for tax purposes.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xml:space="preserve"> means any Subsidiary of the Borrowers that is organized under the Laws of a jurisdiction other than the United States, a State thereof or the District of Columbia.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xml:space="preserve"> shall mean, at any time there is a Defaulting Lender, (a) with respect to the Issuing Lender, such Defaulting Lender’s Ratable Share of the outstanding Letter of Credit Obligations with respect to Letters of Credit issued by such Issuing Lender other than Letter of Credit Obligations as to which such Defaulting Lender’s participation obligation has been reallocated to other Lenders or Cash Collateralized in accordance with the terms hereof, and (b) with respect to any Swingline Loan Lender, such Defaulting Lender’s Ratable Share of outstanding Swingline Loans made by such Swingline Loan Lender other than Swingline Loans as to which such Defaulting Lender’s participation obligation has been reallocated to other Lenders.</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xml:space="preserve"> shall mean any Person (other than a natural Person) that is (or will be) engaged in making, purchasing, holding or otherwise investing in commercial loans, bonds and similar extensions of credit in the ordinary course of its activities.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shall mean generally accepted accounting principles as are in effect from time to time, subject to the provisions of Section 1.3 [Accounting Principles; Changes in GAAP], and applied on a consistent basis both as to classification of items and amounts.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shall mean each of the parties to this Agreement which is designated as a “Guarantor” on the signature page hereof and each other Person which joins this Agreement as a Guarantor after the date 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Guarantor Joinder</w:t>
      </w:r>
      <w:r>
        <w:rPr>
          <w:rFonts w:ascii="Times New Roman" w:cs="Times New Roman" w:eastAsia="Times New Roman" w:hAnsi="Times New Roman"/>
          <w:sz w:val="18"/>
          <w:szCs w:val="18"/>
          <w:color w:val="auto"/>
        </w:rPr>
        <w:t xml:space="preserve"> shall mean a joinder by a Person as a Guarantor under the Loan Documents in the form of </w:t>
      </w:r>
      <w:r>
        <w:rPr>
          <w:rFonts w:ascii="Times New Roman" w:cs="Times New Roman" w:eastAsia="Times New Roman" w:hAnsi="Times New Roman"/>
          <w:sz w:val="18"/>
          <w:szCs w:val="18"/>
          <w:u w:val="single" w:color="auto"/>
          <w:color w:val="auto"/>
        </w:rPr>
        <w:t>Exhibit 1.1(G)(1).</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of any Person shall mean any obligation of such Person guaranteeing or in effect guaranteeing any liability or obligation of any other Person in any manner, whether directly or indirectly,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Guaranty Agreement</w:t>
      </w:r>
      <w:r>
        <w:rPr>
          <w:rFonts w:ascii="Times New Roman" w:cs="Times New Roman" w:eastAsia="Times New Roman" w:hAnsi="Times New Roman"/>
          <w:sz w:val="18"/>
          <w:szCs w:val="18"/>
          <w:color w:val="auto"/>
        </w:rPr>
        <w:t xml:space="preserve"> shall mean the Continuing Agreement of Guaranty and Suretyship in substantially the form of </w:t>
      </w:r>
      <w:r>
        <w:rPr>
          <w:rFonts w:ascii="Times New Roman" w:cs="Times New Roman" w:eastAsia="Times New Roman" w:hAnsi="Times New Roman"/>
          <w:sz w:val="18"/>
          <w:szCs w:val="18"/>
          <w:u w:val="single" w:color="auto"/>
          <w:color w:val="auto"/>
        </w:rPr>
        <w:t>Exhibit 1.1(G)(2)</w:t>
      </w:r>
      <w:r>
        <w:rPr>
          <w:rFonts w:ascii="Times New Roman" w:cs="Times New Roman" w:eastAsia="Times New Roman" w:hAnsi="Times New Roman"/>
          <w:sz w:val="18"/>
          <w:szCs w:val="18"/>
          <w:color w:val="auto"/>
        </w:rPr>
        <w:t xml:space="preserve"> executed and delivered by each of the Guarantors to the Administrative Agent for the benefit of the Lenders.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xml:space="preserve"> shall mean any Person that, at the time it enters into a Lender Provided Foreign Currency Hedge or Lender Provided Interest Rate Hedge, is a Lender or an Affiliate of a Lender, in its capacity as a party to such Lender Provided Foreign Currency Hedge or Lender Provided Interest Rate Hedge.</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Hedge Liabilities</w:t>
      </w:r>
      <w:r>
        <w:rPr>
          <w:rFonts w:ascii="Times New Roman" w:cs="Times New Roman" w:eastAsia="Times New Roman" w:hAnsi="Times New Roman"/>
          <w:sz w:val="18"/>
          <w:szCs w:val="18"/>
          <w:color w:val="auto"/>
        </w:rPr>
        <w:t xml:space="preserve"> shall mean collectively, the Foreign Currency Hedge Liabilities and the Interest Rate Hedge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Hedge Termination Value</w:t>
      </w:r>
      <w:r>
        <w:rPr>
          <w:rFonts w:ascii="Times New Roman" w:cs="Times New Roman" w:eastAsia="Times New Roman" w:hAnsi="Times New Roman"/>
          <w:sz w:val="18"/>
          <w:szCs w:val="18"/>
          <w:color w:val="auto"/>
        </w:rPr>
        <w:t xml:space="preserve"> shall mean, in respect of any one or more interest rate hedges, commodity hedges and/or foreign currency hedges, after taking into account the effect of any legally enforceable netting agreement relating to such interest rate hedges, commodity hedges and/or foreign currency hedges, (a) for any date on or after the date such interest rate hedges, commodity hedges and/or foreign currency hedges have been closed out and termination value(s) determined in accordance therewith, such termination value(s), and (b) for any date prior to the date referenced in clause (a), the amount(s) determined as the mark-to-market value(s) for such interest rate hedges, commodity hedges and/or foreign currency hedges, as determined based upon one or more mid-market or other readily available quotations provided by any recognized dealer in such interest rate hedges, commodity hedges and/or foreign currency hedges (which may include an interest rate hedge bank, a commodity hedge bank or foreign currency hedge bank, as applicable).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shall have the meaning assigned to that term in Section 2.11 [Increase in Commitments and Added Term Loans].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shall mean, as to any Person at any time, any and all indebtedness, obligations or liabilities (whether matured or unmatured, liquidated or unliquidated, direct or indirect, absolute or contingent, or joint or several) of such Person for or in respect of: (i) borrowed money, (ii) amounts raised under or liabilities in respect of any note purchase or acceptance credit facility, (iii) reimbursement obligations (contingent or otherwise) under any letter of credit agreement, (iv) obligations under any currency swap agreement, interest rate swap, cap, collar or floor agreement or other interest rate management device, (v) any other transaction (including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sixty (60) days past due), or (vi) any Guaranty of Indebtedness for borrowed money.</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shall mean (i) Taxes, other than Excluded Taxes, imposed on or with respect to any payment made by or on account of any obligation of any Loan Party under any Loan Document, and (ii) to the extent not otherwise described in the preceding clause (i), Other Taxes.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shall have the meaning specified in Section 11.3.2 [Indemnification by the Borrowers].</w:t>
      </w:r>
    </w:p>
    <w:p>
      <w:pPr>
        <w:spacing w:after="0" w:line="225" w:lineRule="exact"/>
        <w:rPr>
          <w:sz w:val="20"/>
          <w:szCs w:val="20"/>
          <w:color w:val="auto"/>
        </w:rPr>
      </w:pPr>
    </w:p>
    <w:p>
      <w:pPr>
        <w:jc w:val="both"/>
        <w:ind w:firstLine="1296"/>
        <w:spacing w:after="0" w:line="218" w:lineRule="exact"/>
        <w:rPr>
          <w:sz w:val="20"/>
          <w:szCs w:val="20"/>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shall mean all information received from the Loan Parties or any of their Subsidiaries relating to the Loan Parties or any of such Subsidiaries or any of their respective businesses, other than any such information that is available to the Administrative Agent, any Lender or the Issuing Lender on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confidential basis prior to disclosure by the Loan Parties or any of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Loan Parties or any of their Subsidiaries after the date of this Agreement, such information shall be deemed to be confidential unless (i) it is also filed with the Securities and Exchange Commission, (ii) it becomes or is generally known to the trade or public other than as a result of disclosure by the Administrative Agent, any Lender or the Issuing Lender; (iii) it was disclosed to the Administrative Agent, any Lender or the Issuing Lender by a third party who, to the best knowledge of the Administrative Agent, any Lender or the Issuing Lender was not bound by a confidentiality agreement with the Company, (iv) the Administrative Agent, any Lender or the Issuing Lender had an independent right to such information, or (v) such information is independently developed by the Administrative Agent, any Lender or the Issuing Lender or their respective agents without reliance upon the Loan Parties’ proprietary Information.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xml:space="preserve"> shall mean, with respect to any Person, (a) a case, action or proceeding with respect to such Person (i) before any court or any other Official Body under any bankruptcy, insolvency, reorganization or other similar Law now or hereafter in effect, or (ii) for the appointment of a receiver, liquidator, assignee, custodian, trustee, sequestrator, conservator (or similar official) of any Loan Party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xml:space="preserve"> shall mean a Subordination Agreement among the Loan Parties in the form attached hereto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1.1(I)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xml:space="preserve"> shall mean, as of any date of determination, the ratio of Consolidated EBITDA to interest expense of the Loan Parties and their Subsidiaries, (i) for the four fiscal quarters then ending if such date is a fiscal quarter end or (ii) for the four fiscal quarters most recently ended if such date is not a fiscal quarter end.</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shall mean the period of time selected by the Borrowers in connection with (and to apply to) any election permitted hereunder by the Borrowers to have Revolving Credit Loans bear interest under the Term SOFR Rate Option. Subject to the last sentence of this definition, such period shall be one (1), three (3) or six (6) Months, in each case, subject to the availability thereof. Such Interest Period shall commence on the effective date of such Term SOFR Rate Option, which shall be (i) the Borrowing Date if the Borrowers are requesting new Loans, or (ii) the date of renewal of or conversion to the Term SOFR Rate Option if the Borrowers are renewing or converting to the Term SOFR Rate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(B) the Borrowers shall not select, convert to or renew an Interest Period for any portion of the Loans that would end after the Expiration Date, and (C) any Interest Period that commences on the last Business Day of a calendar month (or on a day for which there is no numerically corresponding day in the last calendar month of such Interest Period) shall end of the last Business Day of the last calendar month of such Interest Period.</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Interest Rate Hedge</w:t>
      </w:r>
      <w:r>
        <w:rPr>
          <w:rFonts w:ascii="Times New Roman" w:cs="Times New Roman" w:eastAsia="Times New Roman" w:hAnsi="Times New Roman"/>
          <w:sz w:val="18"/>
          <w:szCs w:val="18"/>
          <w:color w:val="auto"/>
        </w:rPr>
        <w:t xml:space="preserve"> shall mean an interest rate exchange, collar, cap, swap, floor, adjustable strike cap, adjustable strike corridor, cross-currency swap or similar agreements entered into by any Loan Party in order to provide protection to, or minimize the impact upon, such Loan Party of increasing floating rates of interest applicable to Indebtedness.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Interest Rate Hedge Liabilities</w:t>
      </w:r>
      <w:r>
        <w:rPr>
          <w:rFonts w:ascii="Times New Roman" w:cs="Times New Roman" w:eastAsia="Times New Roman" w:hAnsi="Times New Roman"/>
          <w:sz w:val="18"/>
          <w:szCs w:val="18"/>
          <w:color w:val="auto"/>
        </w:rPr>
        <w:t xml:space="preserve"> shall have the meaning assigned in the definition of Lender Provided Interest Rate Hedge.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1300"/>
        <w:spacing w:after="0"/>
        <w:rPr>
          <w:sz w:val="20"/>
          <w:szCs w:val="20"/>
          <w:color w:val="auto"/>
        </w:rPr>
      </w:pPr>
      <w:r>
        <w:rPr>
          <w:rFonts w:ascii="Times New Roman" w:cs="Times New Roman" w:eastAsia="Times New Roman" w:hAnsi="Times New Roman"/>
          <w:sz w:val="18"/>
          <w:szCs w:val="18"/>
          <w:u w:val="single" w:color="auto"/>
          <w:color w:val="auto"/>
        </w:rPr>
        <w:t>Interest Rate Option</w:t>
      </w:r>
      <w:r>
        <w:rPr>
          <w:rFonts w:ascii="Times New Roman" w:cs="Times New Roman" w:eastAsia="Times New Roman" w:hAnsi="Times New Roman"/>
          <w:sz w:val="18"/>
          <w:szCs w:val="18"/>
          <w:color w:val="auto"/>
        </w:rPr>
        <w:t xml:space="preserve"> shall mean any Term SOFR Rate Option or Base Rate Option.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xml:space="preserve"> shall mean all Laws relating to export controls, trade embargoes, customs, and anti-boycott measures.</w:t>
      </w:r>
    </w:p>
    <w:p>
      <w:pPr>
        <w:spacing w:after="0" w:line="225" w:lineRule="exact"/>
        <w:rPr>
          <w:sz w:val="20"/>
          <w:szCs w:val="20"/>
          <w:color w:val="auto"/>
        </w:rPr>
      </w:pPr>
    </w:p>
    <w:p>
      <w:pPr>
        <w:jc w:val="both"/>
        <w:ind w:firstLine="1296"/>
        <w:spacing w:after="0" w:line="223" w:lineRule="exact"/>
        <w:rPr>
          <w:sz w:val="20"/>
          <w:szCs w:val="20"/>
          <w:color w:val="auto"/>
        </w:rPr>
      </w:pP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xml:space="preserve"> shall mean any and all goods, merchandise and other personal property, including, without limitation, goods in transit, wheresoever located and whether now owned or hereafter acquired by any Loan Party which are or may at any time be held as raw materials, finished goods, 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supplies or materials used or consumed in the such Loan Party’s business or held for sale or lease, including, without limitation,</w:t>
      </w:r>
    </w:p>
    <w:p>
      <w:pPr>
        <w:jc w:val="both"/>
        <w:ind w:firstLine="8"/>
        <w:spacing w:after="0" w:line="254" w:lineRule="auto"/>
        <w:tabs>
          <w:tab w:leader="none" w:pos="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property the sale or other disposition of which has given rise to Accounts and which has been returned to or repossessed or stopped in transit by such Loan Party, and (b) all packing, shipping and advertising materials relating to all or any such property. All Inventory, whether Qualified Inventory or not, shall be subject to the Lenders’ prior security interest.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xml:space="preserve"> shall mean the United States Internal Revenue Service.</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xml:space="preserve"> shall mean the International Standby Practices, International Chamber of Commerce Publication No. 590 (or such later version thereof as may be in effect at the applicable time).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xml:space="preserve"> shall mean (a) PNC, in its individual capacity as issuer of Letters of Credit hereunder, and any other Lender that Borrowers, Administrative Agent and such other Lender may agree may from time to time issue Letters of Credit hereunder, and (b) with respect to the Existing Letters of Credit, PNC, in its capacity as issuer thereof.</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Johnson Family</w:t>
      </w:r>
      <w:r>
        <w:rPr>
          <w:rFonts w:ascii="Times New Roman" w:cs="Times New Roman" w:eastAsia="Times New Roman" w:hAnsi="Times New Roman"/>
          <w:sz w:val="18"/>
          <w:szCs w:val="18"/>
          <w:color w:val="auto"/>
        </w:rPr>
        <w:t xml:space="preserve"> shall mean at any time, collectively, the estate of Samuel C. Johnson, the widow of Samuel C. Johnson and the children and grandchildren of Samuel C. Johnson, the executor or administrator of the estate or other legal representative of any such Person, all trusts for the benefit of the foregoing or their heirs or any one or more of them, and all partnerships, corporations or other entities directly or indirectly controlled by the foregoing or any one or more of them.</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xml:space="preserve"> shall mean a corporation, partnership, limited liability company or other entity in which both a Loan Party and any Person other than the Loan Parties (and their wholly-owned Subsidiaries) holds, directly or indirectly, an equity interest.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shall mean any law(s) (including common law), constitution, statute, treaty, regulation, rule, ordinance, opinion, release, ruling, order, executive order, injunction, writ, decree, bond, judgment, authorization or approval, lien or award, or any settlement arrangement, by agreement, consent or otherwise, of any Official Body, foreign or domestic.</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both"/>
        <w:ind w:right="20" w:firstLine="1296"/>
        <w:spacing w:after="0" w:line="257" w:lineRule="auto"/>
        <w:rPr>
          <w:sz w:val="20"/>
          <w:szCs w:val="20"/>
          <w:color w:val="auto"/>
        </w:rPr>
      </w:pPr>
      <w:r>
        <w:rPr>
          <w:rFonts w:ascii="Times New Roman" w:cs="Times New Roman" w:eastAsia="Times New Roman" w:hAnsi="Times New Roman"/>
          <w:sz w:val="18"/>
          <w:szCs w:val="18"/>
          <w:u w:val="single" w:color="auto"/>
          <w:color w:val="auto"/>
        </w:rPr>
        <w:t>Lender Provided Foreign Currency Hedge</w:t>
      </w:r>
      <w:r>
        <w:rPr>
          <w:rFonts w:ascii="Times New Roman" w:cs="Times New Roman" w:eastAsia="Times New Roman" w:hAnsi="Times New Roman"/>
          <w:sz w:val="18"/>
          <w:szCs w:val="18"/>
          <w:color w:val="auto"/>
        </w:rPr>
        <w:t xml:space="preserve"> shall mean a Foreign Currency Hedge which is entered into between any Loan Party and any Hedge Bank that: (a) is documented in a standard International Swaps and Derivatives Association Master Agreement or another reasonable and customary manner, (b) provides for the method of calculating the reimbursable amount of the provider’s credit exposure in a reasonable and customary manner, and</w:t>
      </w:r>
    </w:p>
    <w:p>
      <w:pPr>
        <w:spacing w:after="0" w:line="1" w:lineRule="exact"/>
        <w:rPr>
          <w:sz w:val="20"/>
          <w:szCs w:val="20"/>
          <w:color w:val="auto"/>
        </w:rPr>
      </w:pPr>
    </w:p>
    <w:p>
      <w:pPr>
        <w:jc w:val="both"/>
        <w:ind w:firstLine="8"/>
        <w:spacing w:after="0" w:line="252" w:lineRule="auto"/>
        <w:tabs>
          <w:tab w:leader="none" w:pos="2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entered into for hedging (rather than speculative) purposes. The liabilities owing to the Hedge Bank providing any Lender Provided Foreign Currency Hedge (the “</w:t>
      </w:r>
      <w:r>
        <w:rPr>
          <w:rFonts w:ascii="Times New Roman" w:cs="Times New Roman" w:eastAsia="Times New Roman" w:hAnsi="Times New Roman"/>
          <w:sz w:val="18"/>
          <w:szCs w:val="18"/>
          <w:b w:val="1"/>
          <w:bCs w:val="1"/>
          <w:color w:val="auto"/>
        </w:rPr>
        <w:t>Foreign Currency Hedge Liabilities</w:t>
      </w:r>
      <w:r>
        <w:rPr>
          <w:rFonts w:ascii="Times New Roman" w:cs="Times New Roman" w:eastAsia="Times New Roman" w:hAnsi="Times New Roman"/>
          <w:sz w:val="18"/>
          <w:szCs w:val="18"/>
          <w:color w:val="auto"/>
        </w:rPr>
        <w:t>”) by any Loan Party that is party to such Lender Provided Foreign Currency Hedge shall, for purposes of this Agreement and all other Loan Documents be “Obligations” of such Person and of each other Loan Party, be guaranteed obligations under the Guaranty Agreement and secured obligations under any other Loan Document, as applicable, and otherwise treated as Obligations for purposes of the other Loan Documents, except to the extent constituting Excluded Hedge Liabilities of such Person. The Liens securing the Foreign Currency Hedge Liabilities shall be pari passu with the Liens securing all other Obligations under this Agreement and the other Loan Documents, subject to the express provisions of Section 9.2.4 [Application of Proceeds].</w:t>
      </w:r>
    </w:p>
    <w:p>
      <w:pPr>
        <w:spacing w:after="0" w:line="18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u w:val="single" w:color="auto"/>
          <w:color w:val="auto"/>
        </w:rPr>
        <w:t>Lender Provided Interest Rate Hedge</w:t>
      </w:r>
      <w:r>
        <w:rPr>
          <w:rFonts w:ascii="Times New Roman" w:cs="Times New Roman" w:eastAsia="Times New Roman" w:hAnsi="Times New Roman"/>
          <w:sz w:val="18"/>
          <w:szCs w:val="18"/>
          <w:color w:val="auto"/>
        </w:rPr>
        <w:t xml:space="preserve"> shall mean an Interest Rate Hedge which is entered into between any Loan Party and any Hedge Bank that: (a) is documented in a standard International Swaps and Derivatives Association Master Agreement or another reasonable and customary manner, (b) provides for the method of calculating the reimbursable amount of the provider’s credit exposure in a reasonable and customary manner, and</w:t>
      </w:r>
    </w:p>
    <w:p>
      <w:pPr>
        <w:spacing w:after="0" w:line="1" w:lineRule="exact"/>
        <w:rPr>
          <w:sz w:val="20"/>
          <w:szCs w:val="20"/>
          <w:color w:val="auto"/>
        </w:rPr>
      </w:pPr>
    </w:p>
    <w:p>
      <w:pPr>
        <w:jc w:val="both"/>
        <w:ind w:firstLine="8"/>
        <w:spacing w:after="0" w:line="252"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entered into for hedging (rather than speculative) purposes. The liabilities owing to the Hedge Bank providing any Lender Provided Interest Rate Hedge (the “</w:t>
      </w:r>
      <w:r>
        <w:rPr>
          <w:rFonts w:ascii="Times New Roman" w:cs="Times New Roman" w:eastAsia="Times New Roman" w:hAnsi="Times New Roman"/>
          <w:sz w:val="18"/>
          <w:szCs w:val="18"/>
          <w:b w:val="1"/>
          <w:bCs w:val="1"/>
          <w:color w:val="auto"/>
        </w:rPr>
        <w:t>Interest Rate Hedge Liabilities</w:t>
      </w:r>
      <w:r>
        <w:rPr>
          <w:rFonts w:ascii="Times New Roman" w:cs="Times New Roman" w:eastAsia="Times New Roman" w:hAnsi="Times New Roman"/>
          <w:sz w:val="18"/>
          <w:szCs w:val="18"/>
          <w:color w:val="auto"/>
        </w:rPr>
        <w:t xml:space="preserve">”) by any Loan Party that is party to such Lender Provided Interest Rate Hedge shall, for purposes of this Agreement and all other Loan Documents be “Obligations” of such Person and of each other Loan Party, be guaranteed obligations under any Guaranty Agreement and secured obligations under any other Loan Document, as applicable, and otherwise treated as Obligations for purposes of the other Loan Documents, except to the extent constituting Excluded Hedge Liabilities of such Person. The Liens securing the Hedge Liabilities shall be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securing all other Obligations under this Agreement and the other Loan Documents, subject to the express provisions of Section 9.2.4 [Application of Proceeds].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shall mean the financial institutions named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and their respective successors and assigns as permitted hereunder, each of which is referred to herein as a Lender. For the purpose of any Loan Document which provides for the granting of a security interest or other Lien to the Lenders or to the Administrative Agent for the benefit of the Secured Parties as security for the Obligations, “Lenders” shall include any Affiliate of a Lender to which such Obligation is owed. Unless the context requires otherwise, the term “Lenders” includes the Swing Loan Lender, but not the Issuing Lender.</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xml:space="preserve"> shall mean, as to the Administrative Agent, the Issuing Lender or any Lender, the office or offices of such Person described as such in such Lender’s Administrative Questionnaire, or such other office or offices as such Person may from time to time notify the Borrower and the Administrative Agent.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shall have the meaning specified in Section 2.9.1 [Issuance of Letters of Credit]. As of the Closing Date, each of the Existing Letters of Credit shall constitute for all purposes of this Agreement and the other Loan Documents, a Letter of Credit issue and outstanding hereunder.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1300"/>
        <w:spacing w:after="0"/>
        <w:rPr>
          <w:sz w:val="20"/>
          <w:szCs w:val="20"/>
          <w:color w:val="auto"/>
        </w:rPr>
      </w:pPr>
      <w:r>
        <w:rPr>
          <w:rFonts w:ascii="Times New Roman" w:cs="Times New Roman" w:eastAsia="Times New Roman" w:hAnsi="Times New Roman"/>
          <w:sz w:val="18"/>
          <w:szCs w:val="18"/>
          <w:u w:val="single" w:color="auto"/>
          <w:color w:val="auto"/>
        </w:rPr>
        <w:t>Letter of Credit Borrowing</w:t>
      </w:r>
      <w:r>
        <w:rPr>
          <w:rFonts w:ascii="Times New Roman" w:cs="Times New Roman" w:eastAsia="Times New Roman" w:hAnsi="Times New Roman"/>
          <w:sz w:val="18"/>
          <w:szCs w:val="18"/>
          <w:color w:val="auto"/>
        </w:rPr>
        <w:t xml:space="preserve"> shall have the meaning specified in Section 2.9.3.3 [Disbursements, Reimbursement].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shall have the meaning specified in Section 2.9.2 [Letter of Credit Fees].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Letter of Credit Obligation</w:t>
      </w:r>
      <w:r>
        <w:rPr>
          <w:rFonts w:ascii="Times New Roman" w:cs="Times New Roman" w:eastAsia="Times New Roman" w:hAnsi="Times New Roman"/>
          <w:sz w:val="18"/>
          <w:szCs w:val="18"/>
          <w:color w:val="auto"/>
        </w:rPr>
        <w:t xml:space="preserve"> shall mean, as of any date of determination,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Reimbursement Obligations and Letter of Credit Borrowings on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xml:space="preserve"> shall have the meaning specified in Section 2.9.1.1 [Issuance of Letters of Credit].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shall mean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LLC Division</w:t>
      </w:r>
      <w:r>
        <w:rPr>
          <w:rFonts w:ascii="Times New Roman" w:cs="Times New Roman" w:eastAsia="Times New Roman" w:hAnsi="Times New Roman"/>
          <w:sz w:val="18"/>
          <w:szCs w:val="18"/>
          <w:color w:val="auto"/>
        </w:rPr>
        <w:t xml:space="preserve"> shall mean, in the event a Borrower or Guarantor is a limited liability company, (a) the division of any such Borrower or Guarantor into two or more newly formed limited liability companies (whether or not such Borrower or Guarantor is a 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Official Body that results or may result in, any such division.</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shall mean this Agreement, the Administrative Agent’s Letter, the Collateral Documents, the Guaranty Agreement, the Intercompany Subordination Agreement, the Notes, and any other instruments, certificates or documents delivered in connection herewith or therewith.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shall mean the Borrowers and the Guarantors.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Loan Request</w:t>
      </w:r>
      <w:r>
        <w:rPr>
          <w:rFonts w:ascii="Times New Roman" w:cs="Times New Roman" w:eastAsia="Times New Roman" w:hAnsi="Times New Roman"/>
          <w:sz w:val="18"/>
          <w:szCs w:val="18"/>
          <w:color w:val="auto"/>
        </w:rPr>
        <w:t xml:space="preserve"> shall have the meaning specified in Section 2.5 [Revolving Credit Loan Requests; Swing Loan Requests].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shall mean collectively and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shall mean separately all Revolving Credit Loans and Swing Loans or any Revolving Credit Loan or Swing Loan.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shall mean any set of circumstances or events which (a) has or could reasonably be expected to have a material adverse effect upon the validity or enforceability of this Agreement or any other Loan Document, (b) is or could reasonably be expected to be material and adverse to the business, properties, assets, financial condition or results of operations of the Loan Parties taken as a whole, (c) impairs materially or could reasonably be expected to impair materially the ability of the Loan Parties taken as a whole to duly and punctually pay or perform any of the Obligations, or (d) impairs materially or could reasonably be expected to impair materially the ability of the Administrative Agent or any of the Lenders, to the extent permitted, to enforce their legal remedies pursuant to this Agreement or any other Loan Document.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Cash Collateral consisting of cash or deposit account balances, an amount equal to 105% of (a) the Fronting Exposure of the Issuing Lender with respect to Letters of Credit issued and outstanding at such time, or (b) the Issuing Lender’s Fronting Exposure with respect to any Defaulting Lender with respect to Letters of Credit issued and outstanding at such time, as applicable.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Month</w:t>
      </w:r>
      <w:r>
        <w:rPr>
          <w:rFonts w:ascii="Times New Roman" w:cs="Times New Roman" w:eastAsia="Times New Roman" w:hAnsi="Times New Roman"/>
          <w:sz w:val="18"/>
          <w:szCs w:val="18"/>
          <w:color w:val="auto"/>
        </w:rPr>
        <w:t>, with respect to an Interest Period under the Term SOFR Rate Option, shall mean the interval between the days in consecutive calendar months numerically corresponding to the first day of such Interest Period. If any Term SOFR Rate Interest Period begins on a day of a calendar month for which there is no numerically corresponding day in the month in which such Interest Period is to end, the final month of such Interest Period shall be deemed to end on the last Business Day of such final month.</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xml:space="preserve"> shall mean any employee pension benefit plan which is a "multiemployer plan" within the meaning of Section 4001(a)(3) of ERISA and to which the Borrowers or any member of the ERISA Group is then making or accruing an obligation to make contributions or, within the preceding five (5) plan years, has made or had an obligation to make such contributions, or to which the Borrowers or any member of the ERISA Group has any liability (contingent or otherwise).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shall have the meaning assigned to that term in Section 2.11 [Increase in Commitments and Added Term Loans].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New Tranche of Term Loan Commitments</w:t>
      </w:r>
      <w:r>
        <w:rPr>
          <w:rFonts w:ascii="Times New Roman" w:cs="Times New Roman" w:eastAsia="Times New Roman" w:hAnsi="Times New Roman"/>
          <w:sz w:val="18"/>
          <w:szCs w:val="18"/>
          <w:color w:val="auto"/>
        </w:rPr>
        <w:t xml:space="preserve"> shall have the meaning assigned to that term in Section 2.11 [Increase in Commitments and Added Term Loans].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Net Leverage Ratio</w:t>
      </w:r>
      <w:r>
        <w:rPr>
          <w:rFonts w:ascii="Times New Roman" w:cs="Times New Roman" w:eastAsia="Times New Roman" w:hAnsi="Times New Roman"/>
          <w:sz w:val="18"/>
          <w:szCs w:val="18"/>
          <w:color w:val="auto"/>
        </w:rPr>
        <w:t xml:space="preserve"> shall mean, as of any date of determination, the ratio of (A) Net Total Consolidated Indebtedness of the Loan Parties and their Subsidiaries on such date to (B) Consolidated EBITDA (i) for the four fiscal quarters then ending if such date is a fiscal quarter end or (ii) for the four fiscal quarters most recently ended if such date is not a fiscal quarter end.</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Net Total Consolidated Indebtedness</w:t>
      </w:r>
      <w:r>
        <w:rPr>
          <w:rFonts w:ascii="Times New Roman" w:cs="Times New Roman" w:eastAsia="Times New Roman" w:hAnsi="Times New Roman"/>
          <w:sz w:val="18"/>
          <w:szCs w:val="18"/>
          <w:color w:val="auto"/>
        </w:rPr>
        <w:t xml:space="preserve"> shall mean Total Consolidated Indebtedness minus the lesser of (i) $25,000,000, and (ii) Unrestricted Cash.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shall have the meaning specified in Section 11.1 [Modifications, Amendments or Waivers].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xml:space="preserve"> shall mean, at any time, each Lender that is not a Defaulting Lender at such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Non-Qualifying Party</w:t>
      </w:r>
      <w:r>
        <w:rPr>
          <w:rFonts w:ascii="Times New Roman" w:cs="Times New Roman" w:eastAsia="Times New Roman" w:hAnsi="Times New Roman"/>
          <w:sz w:val="18"/>
          <w:szCs w:val="18"/>
          <w:color w:val="auto"/>
        </w:rPr>
        <w:t xml:space="preserve"> shall mean any Loan Party that fails for any reason to qualify as an Eligible Contract Participant on the Effective Date of the applicable Swap.</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shall mean collectively, and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shall mean separately, the promissory notes in the form of </w:t>
      </w:r>
      <w:r>
        <w:rPr>
          <w:rFonts w:ascii="Times New Roman" w:cs="Times New Roman" w:eastAsia="Times New Roman" w:hAnsi="Times New Roman"/>
          <w:sz w:val="18"/>
          <w:szCs w:val="18"/>
          <w:u w:val="single" w:color="auto"/>
          <w:color w:val="auto"/>
        </w:rPr>
        <w:t>Exhibit 1.1(N)(1)</w:t>
      </w:r>
      <w:r>
        <w:rPr>
          <w:rFonts w:ascii="Times New Roman" w:cs="Times New Roman" w:eastAsia="Times New Roman" w:hAnsi="Times New Roman"/>
          <w:sz w:val="18"/>
          <w:szCs w:val="18"/>
          <w:color w:val="auto"/>
        </w:rPr>
        <w:t xml:space="preserve"> evidencing the Revolving Credit Loans and in the form of </w:t>
      </w:r>
      <w:r>
        <w:rPr>
          <w:rFonts w:ascii="Times New Roman" w:cs="Times New Roman" w:eastAsia="Times New Roman" w:hAnsi="Times New Roman"/>
          <w:sz w:val="18"/>
          <w:szCs w:val="18"/>
          <w:u w:val="single" w:color="auto"/>
          <w:color w:val="auto"/>
        </w:rPr>
        <w:t>Exhibit 1.1(N)(2)</w:t>
      </w:r>
      <w:r>
        <w:rPr>
          <w:rFonts w:ascii="Times New Roman" w:cs="Times New Roman" w:eastAsia="Times New Roman" w:hAnsi="Times New Roman"/>
          <w:sz w:val="18"/>
          <w:szCs w:val="18"/>
          <w:color w:val="auto"/>
        </w:rPr>
        <w:t xml:space="preserve"> evidencing the Swing Loans.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xml:space="preserve"> shall mean the Federal Reserve Bank of New York.</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Obligation</w:t>
      </w:r>
      <w:r>
        <w:rPr>
          <w:rFonts w:ascii="Times New Roman" w:cs="Times New Roman" w:eastAsia="Times New Roman" w:hAnsi="Times New Roman"/>
          <w:sz w:val="18"/>
          <w:szCs w:val="18"/>
          <w:color w:val="auto"/>
        </w:rPr>
        <w:t xml:space="preserve"> shall mean any obligation or liability of any of the Loan Parties, howsoever created, arising or evidenced, whether direct or indirect, absolute or contingent, now or hereafter existing, or due or to become due, under or in connection with (i) this Agreement, the Notes, the Letters of Credit, the Administrative Agent’s Letter or any other Loan Document whether to the Administrative Agent, any of the Lenders or their Affiliates or other persons provided for under such Loan Documents, (ii) any Lender Provided Interest Rate Hedge, (iii) any Lender Provided Foreign Currency Hedge, and (iv) any Other Lender Provided Financial Service Products. Notwithstanding anything to the contrary contained in the foregoing, the Obligations shall not include any Excluded Hedge Liabilities.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shall mean the Office of Foreign Assets Control of the United States Department of the Treasury.</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Official Body</w:t>
      </w:r>
      <w:r>
        <w:rPr>
          <w:rFonts w:ascii="Times New Roman" w:cs="Times New Roman" w:eastAsia="Times New Roman" w:hAnsi="Times New Roman"/>
          <w:sz w:val="18"/>
          <w:szCs w:val="18"/>
          <w:color w:val="auto"/>
        </w:rPr>
        <w:t xml:space="preserve"> shall mean the government of the United States of America or any other nation, or of any political subdivision of such government, whether federal,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xml:space="preserve"> shall have the meaning specified in Section 2.9.9 [Liability for Acts and Omissions].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Ordinary Course Hedge Payments</w:t>
      </w:r>
      <w:r>
        <w:rPr>
          <w:rFonts w:ascii="Times New Roman" w:cs="Times New Roman" w:eastAsia="Times New Roman" w:hAnsi="Times New Roman"/>
          <w:sz w:val="18"/>
          <w:szCs w:val="18"/>
          <w:color w:val="auto"/>
        </w:rPr>
        <w:t xml:space="preserve"> shall mean all fees, premiums, scheduled payments and other ordinary course payments, including any payment in relation to adjustments due to Taxes on any of the foregoing, arising under any Lender Provided Interest Rate Hedge or Lender Provided Foreign Currency Hedge and calculated in accordance with the terms therein, but (for the avoidance of doubt) excluding any payment for the Hedge Termination Value arising under any Lender Provided Interest Rate Hedge or Lender Provided Foreign Currency Hedge.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xml:space="preserve"> shall mean, with respect to any Recipient, Taxes imposed as a result of a present or former connection between such Recipient (or an agent or affiliate thereof)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Other Lender Provided Financial Service Products</w:t>
      </w:r>
      <w:r>
        <w:rPr>
          <w:rFonts w:ascii="Times New Roman" w:cs="Times New Roman" w:eastAsia="Times New Roman" w:hAnsi="Times New Roman"/>
          <w:sz w:val="18"/>
          <w:szCs w:val="18"/>
          <w:color w:val="auto"/>
        </w:rPr>
        <w:t xml:space="preserve"> shall mean agreements or other arrangements entered into between any Loan Party and any Cash Management Bank that provides any of the following products or services to any of the Loan Parties: (a) credit cards, (b) credit card processing services, (c) debit cards, (d) purchase cards, (e) ACH transactions, or (f) cash management, including controlled disbursement, overdraft lines, accounts or services.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5.13 [Replacement of a Lender]).</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shall mean,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Section 11.8.4 [Participations].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shall have the meaning specified in Section 11.8.4 [Participations].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Participation Advance</w:t>
      </w:r>
      <w:r>
        <w:rPr>
          <w:rFonts w:ascii="Times New Roman" w:cs="Times New Roman" w:eastAsia="Times New Roman" w:hAnsi="Times New Roman"/>
          <w:sz w:val="18"/>
          <w:szCs w:val="18"/>
          <w:color w:val="auto"/>
        </w:rPr>
        <w:t xml:space="preserve"> shall have the meaning specified in Section 2.9.3.3 [Disbursements, Reimbursement].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xml:space="preserve"> shall mean the first day of each calendar quarter after the date hereof and on the Expiration Date or upon acceleration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xml:space="preserve"> shall mean the indefeasible payment in full in cash of the Loans and other Obligations hereunder, termination of the Commitments and expiration or termination of all Letters of Credit.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xml:space="preserve"> shall mean the Pension Benefit Guaranty Corporation established pursuant to Subtitle A of Title IV of ERISA or any successor.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xml:space="preserve"> shall mean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(i) is sponsored, maintained or contributed to by any member of the ERISA Group for employees of any member of the ERISA Group, (ii)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(5) plan years, or (iii) to which the Borrowers or any member of the ERISA Group may have any liability (contingent or otherwise).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shall have the meaning in Section 8.2.6 [Liquidations, Mergers, Consolidations, Acquisitions].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xml:space="preserve"> shall mean a determination made in good faith and in the exercise of reasonable (from the perspective of a secured lender) business judgment.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shall mean:</w:t>
      </w:r>
    </w:p>
    <w:p>
      <w:pPr>
        <w:spacing w:after="0" w:line="225" w:lineRule="exact"/>
        <w:rPr>
          <w:sz w:val="20"/>
          <w:szCs w:val="20"/>
          <w:color w:val="auto"/>
        </w:rPr>
      </w:pPr>
    </w:p>
    <w:p>
      <w:pPr>
        <w:ind w:left="2100" w:hanging="796"/>
        <w:spacing w:after="0"/>
        <w:tabs>
          <w:tab w:leader="none" w:pos="2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similar charges, incurred in the ordinary course of business and which are not yet due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w:t>
      </w:r>
    </w:p>
    <w:p>
      <w:pPr>
        <w:spacing w:after="0" w:line="207" w:lineRule="exact"/>
        <w:rPr>
          <w:sz w:val="20"/>
          <w:szCs w:val="20"/>
          <w:color w:val="auto"/>
        </w:rPr>
      </w:pPr>
    </w:p>
    <w:p>
      <w:pPr>
        <w:ind w:firstLine="1304"/>
        <w:spacing w:after="0" w:line="282" w:lineRule="auto"/>
        <w:tabs>
          <w:tab w:leader="none" w:pos="19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made in the ordinary course of business to secure payment of workmen's compensation, or to participate in any fund in connection with workmen's compensation, unemployment insurance, old-age pensions or other social security programs;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mechanics, materialmen, warehousemen, carriers, or other like Liens, securing obligations incurred in the ordinary course of business that are not yet due and payable and Liens of landlords securing obligations to pay lease payments that are not yet due and payable or in default;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Good-faith pledges or deposits made in the ordinary course of business to secure performance of bids, tenders, contracts (other than for the repayment of borrowed money or as security for Hedge Liabilities or margining related to commodities hedges) or leases, not in excess of the aggregate amount due thereunder, or to secure statutory obligations, or surety, appeal, indemnity, performance or other similar bonds required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security interests and mortgages in favor of the Administrative Agent for the benefit of the Lenders and their Affiliates securing the Obligations (including any Lender Provided Interest Rate Hedge, any Lender Provided Foreign Currency Hedge, and Other Lender Provided Financial Service Products);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firstLine="1304"/>
        <w:spacing w:after="0" w:line="282" w:lineRule="auto"/>
        <w:tabs>
          <w:tab w:leader="none" w:pos="19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the date of this Agreement and described on </w:t>
      </w:r>
      <w:r>
        <w:rPr>
          <w:rFonts w:ascii="Times New Roman" w:cs="Times New Roman" w:eastAsia="Times New Roman" w:hAnsi="Times New Roman"/>
          <w:sz w:val="18"/>
          <w:szCs w:val="18"/>
          <w:u w:val="single" w:color="auto"/>
          <w:color w:val="auto"/>
        </w:rPr>
        <w:t>Schedule 1.1(P)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secured thereby is not hereafter increased, and no additional assets become subject to such Lien;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Security Interests and capitalized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of loans and deferred payments secured by such Purchase Money Security Interests and capitalized leases shall not exceed $10,000,000 in the aggregate (excluding for the purpose of this computation any loans or deferred payments secured by Liens described on </w:t>
      </w:r>
      <w:r>
        <w:rPr>
          <w:rFonts w:ascii="Times New Roman" w:cs="Times New Roman" w:eastAsia="Times New Roman" w:hAnsi="Times New Roman"/>
          <w:sz w:val="18"/>
          <w:szCs w:val="18"/>
          <w:u w:val="single" w:color="auto"/>
          <w:color w:val="auto"/>
        </w:rPr>
        <w:t>Schedule 1.1(P)</w:t>
      </w:r>
      <w:r>
        <w:rPr>
          <w:rFonts w:ascii="Times New Roman" w:cs="Times New Roman" w:eastAsia="Times New Roman" w:hAnsi="Times New Roman"/>
          <w:sz w:val="18"/>
          <w:szCs w:val="18"/>
          <w:color w:val="auto"/>
        </w:rPr>
        <w:t>), and (ii) such Liens shall be limited to the assets acquired with such purchase money financing or leased pursuant to such capital lease; and</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equipment or other capital assets of a Loan Party in connection with Indebtedness permitted under Section 8.2.1(vii)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if the validity or amount thereof is being contested in good faith by appropriate and lawful proceedings diligently conducted so long as levy and execution thereon have been stayed and continue to be stayed and in each case they do not, in the aggregate, materially impair the ability of any Loan Party to perform its Obligations hereunder or under the other Loan Documents: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3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claims or Liens for taxes, assessments or charges due and payable and subject to interest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Loan Party maintains such reserves or other appropriate provisions as shall be required by GAAP and pays all such taxes, assessments or charges forthwith upon the commencement of proceedings to foreclose any such Lien;</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67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Liens or encumbrances upon, and defects of title to, real or personal property, including any attachment of personal or real property or other legal process prior to adjudication of a dispute on the merits; or</w:t>
      </w:r>
    </w:p>
    <w:p>
      <w:pPr>
        <w:spacing w:after="0" w:line="161"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Liens of mechanics, materialmen, warehousemen, carriers, or other statutory nonconsensual Liens; and</w:t>
      </w:r>
    </w:p>
    <w:p>
      <w:pPr>
        <w:spacing w:after="0" w:line="225"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final judgments or orders not constituting an Event of Default described in Section 9.1.7 [Final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or Orders].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shall mean any natural person, corporation, partnership, limited liability company, association, trust, joint venture, Official Body,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entity.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shall mean Debt Domain, Intralinks, Syndtrak or a substantially similar electronic transmission system.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xml:space="preserve"> shall mean PNC Bank, National Association, its successors and assigns.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8"/>
          <w:szCs w:val="18"/>
          <w:u w:val="single" w:color="auto"/>
          <w:color w:val="auto"/>
        </w:rPr>
        <w:t>Potential Default</w:t>
      </w:r>
      <w:r>
        <w:rPr>
          <w:rFonts w:ascii="Times New Roman" w:cs="Times New Roman" w:eastAsia="Times New Roman" w:hAnsi="Times New Roman"/>
          <w:sz w:val="18"/>
          <w:szCs w:val="18"/>
          <w:color w:val="auto"/>
        </w:rPr>
        <w:t xml:space="preserve"> shall mean any event or condition which with notice or passage of time, or both, would constitute an Event of Default.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shall mean the interest rate per annum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xml:space="preserve"> shall mean the main banking office of the Administrative Agent in Pittsburgh, Pennsylvania.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xml:space="preserve"> shall mean a prohibited transaction class exemption issued by the U.S. Department of Labor, as any such exemption may be amended from time to time.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Purchase Money Security Interest</w:t>
      </w:r>
      <w:r>
        <w:rPr>
          <w:rFonts w:ascii="Times New Roman" w:cs="Times New Roman" w:eastAsia="Times New Roman" w:hAnsi="Times New Roman"/>
          <w:sz w:val="18"/>
          <w:szCs w:val="18"/>
          <w:color w:val="auto"/>
        </w:rPr>
        <w:t xml:space="preserve"> shall mean Liens upon tangible personal property securing loans to any Loan Party or deferred payments by such Loan Party for the purchase of such tangible personal property.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Qualified Accounts</w:t>
      </w:r>
      <w:r>
        <w:rPr>
          <w:rFonts w:ascii="Times New Roman" w:cs="Times New Roman" w:eastAsia="Times New Roman" w:hAnsi="Times New Roman"/>
          <w:sz w:val="18"/>
          <w:szCs w:val="18"/>
          <w:color w:val="auto"/>
        </w:rPr>
        <w:t xml:space="preserve"> shall mean any Accounts which meet the requirements specified on </w:t>
      </w:r>
      <w:r>
        <w:rPr>
          <w:rFonts w:ascii="Times New Roman" w:cs="Times New Roman" w:eastAsia="Times New Roman" w:hAnsi="Times New Roman"/>
          <w:sz w:val="18"/>
          <w:szCs w:val="18"/>
          <w:u w:val="single" w:color="auto"/>
          <w:color w:val="auto"/>
        </w:rPr>
        <w:t>Schedule 1.1(Q)(1)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Qualified ECP Loan Party</w:t>
      </w:r>
      <w:r>
        <w:rPr>
          <w:rFonts w:ascii="Times New Roman" w:cs="Times New Roman" w:eastAsia="Times New Roman" w:hAnsi="Times New Roman"/>
          <w:sz w:val="18"/>
          <w:szCs w:val="18"/>
          <w:color w:val="auto"/>
        </w:rPr>
        <w:t xml:space="preserve"> shall mean each Loan Party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Qualified Inventory</w:t>
      </w:r>
      <w:r>
        <w:rPr>
          <w:rFonts w:ascii="Times New Roman" w:cs="Times New Roman" w:eastAsia="Times New Roman" w:hAnsi="Times New Roman"/>
          <w:sz w:val="18"/>
          <w:szCs w:val="18"/>
          <w:color w:val="auto"/>
        </w:rPr>
        <w:t xml:space="preserve"> shall mean any Inventory which meets the requirements specified on </w:t>
      </w:r>
      <w:r>
        <w:rPr>
          <w:rFonts w:ascii="Times New Roman" w:cs="Times New Roman" w:eastAsia="Times New Roman" w:hAnsi="Times New Roman"/>
          <w:sz w:val="18"/>
          <w:szCs w:val="18"/>
          <w:u w:val="single" w:color="auto"/>
          <w:color w:val="auto"/>
        </w:rPr>
        <w:t>Schedule 1.1(Q)(2)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xml:space="preserve"> shall mean:</w:t>
      </w:r>
    </w:p>
    <w:p>
      <w:pPr>
        <w:spacing w:after="0" w:line="225" w:lineRule="exact"/>
        <w:rPr>
          <w:sz w:val="20"/>
          <w:szCs w:val="20"/>
          <w:color w:val="auto"/>
        </w:rPr>
      </w:pPr>
    </w:p>
    <w:p>
      <w:pPr>
        <w:jc w:val="both"/>
        <w:ind w:firstLine="1304"/>
        <w:spacing w:after="0" w:line="258" w:lineRule="auto"/>
        <w:tabs>
          <w:tab w:leader="none" w:pos="19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Lender’s obligation to make Revolving Credit Loans, participate in Letters of Credit and other Letter of Credit Obligations, participate in Swing Loans, and receive payments, interest, and fees related thereto, the proportion that such Lender’s Revolving Credit Commitment bears to the Revolving Credit Commitments of all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Revolving Credit Commitments have terminated or expired, the Ratable Shares for purposes of this clause shall be determined based upon the Revolving Credit Commitments most recently in effect, giving effect to any assignments.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both"/>
        <w:ind w:firstLine="1304"/>
        <w:spacing w:after="0" w:line="256" w:lineRule="auto"/>
        <w:tabs>
          <w:tab w:leader="none" w:pos="18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other matters as to a particular Lender, the percentage obtained by dividing (i) such Lender’s Revolving Credit Commitment, by (ii) the sum of the aggregate amount of the Revolving Credit Commitments of all Lenders;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if the Revolving Credit Commitments have terminated or expired, the computation in this clause shall be determined based upon the Revolving Credit Commitments most recently in effect, giving effect to any assignments, and not on the current amount of the Revolving Credit Commitments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in the case of Section 2.10 [Defaulting Lenders] when a Defaulting Lender shall exist, “Ratable Share” shall mean the percentage of the aggregate Commitments (disregarding any Defaulting Lender's Commitment) represented by such Lender's Commitment.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shall mean (i) the Administrative Agent, (ii) any Lender and (iii) the Issuing Lender, as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xml:space="preserve"> shall have the meaning specified in Section 2.9.3.1 [Disbursements, Reimbursement].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shall mean, with respect to any Person, such Person’s Affiliates and the partners, directors, officers, employees, agents and advisors of such Person and of such Person’s Affiliates.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Relief Proceeding</w:t>
      </w:r>
      <w:r>
        <w:rPr>
          <w:rFonts w:ascii="Times New Roman" w:cs="Times New Roman" w:eastAsia="Times New Roman" w:hAnsi="Times New Roman"/>
          <w:sz w:val="18"/>
          <w:szCs w:val="18"/>
          <w:color w:val="auto"/>
        </w:rPr>
        <w:t xml:space="preserve"> shall mean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liquidator, assignee, custodian, trustee, sequestrator, conservator (or similar official) of any Loan Party or Subsidiary of a Loan Party for any substantial part of its property, or for the winding-up or liquidation of its affairs, or an assignment for the benefit of its creditors.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shall mean as is specified in Section 10.6 [Resignation of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shall mean</w:t>
      </w:r>
    </w:p>
    <w:p>
      <w:pPr>
        <w:spacing w:after="0" w:line="225" w:lineRule="exact"/>
        <w:rPr>
          <w:sz w:val="20"/>
          <w:szCs w:val="20"/>
          <w:color w:val="auto"/>
        </w:rPr>
      </w:pPr>
    </w:p>
    <w:p>
      <w:pPr>
        <w:ind w:left="1920" w:hanging="616"/>
        <w:spacing w:after="0"/>
        <w:tabs>
          <w:tab w:leader="none" w:pos="1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exists fewer than three (3) Lenders, all Lenders (other than any Defaulting Lender),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exist three (3) or more Lenders, Lenders (other than any Defaulting Lender) having more than 66 2/3% of the sum of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Required Share</w:t>
      </w:r>
      <w:r>
        <w:rPr>
          <w:rFonts w:ascii="Times New Roman" w:cs="Times New Roman" w:eastAsia="Times New Roman" w:hAnsi="Times New Roman"/>
          <w:sz w:val="18"/>
          <w:szCs w:val="18"/>
          <w:color w:val="auto"/>
        </w:rPr>
        <w:t xml:space="preserve"> shall have the meaning assigned to such term in Section 5.11 [Settlement Date Procedures].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shall mean as is specified in Section 10.6 [Resignation of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xml:space="preserve"> means an EEA Resolution Authority or, with respect to any UK Financial Institution, a UK Resolution Authority.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Restricted Investments</w:t>
      </w:r>
      <w:r>
        <w:rPr>
          <w:rFonts w:ascii="Times New Roman" w:cs="Times New Roman" w:eastAsia="Times New Roman" w:hAnsi="Times New Roman"/>
          <w:sz w:val="18"/>
          <w:szCs w:val="18"/>
          <w:color w:val="auto"/>
        </w:rPr>
        <w:t xml:space="preserve"> shall mean all of the following with respect to any of the Foreign Subsidiaries: (i) investments or contributions by any of the Loan Parties directly or indirectly in or to the capital of or other payments to or for the benefit of such Foreign Subsidiary, (ii) loans by any of the Loan parties directly or indirectly to such Foreign Subsidiary, (iii) guaranties by any of the Loan Parties directly or indirectly of the obligations of such Foreign Subsidiary, or (iv) other obligations, contingent or otherwise, of any of the Loan Parties to or for the benefit of such Foreign Subsidiary.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shall mean, as to any Lender at any time, the amount initially set forth opposite its name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w:t>
      </w:r>
      <w:r>
        <w:rPr>
          <w:rFonts w:ascii="Times New Roman" w:cs="Times New Roman" w:eastAsia="Times New Roman" w:hAnsi="Times New Roman"/>
          <w:sz w:val="18"/>
          <w:szCs w:val="18"/>
          <w:color w:val="auto"/>
        </w:rPr>
        <w:t xml:space="preserve"> in the column labeled "Amount of Commitment for Revolving Credit Loans", as such Commitment is thereafter assigned or modified and </w:t>
      </w:r>
      <w:r>
        <w:rPr>
          <w:rFonts w:ascii="Times New Roman" w:cs="Times New Roman" w:eastAsia="Times New Roman" w:hAnsi="Times New Roman"/>
          <w:sz w:val="18"/>
          <w:szCs w:val="18"/>
          <w:u w:val="single" w:color="auto"/>
          <w:color w:val="auto"/>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Commitments</w:t>
      </w:r>
      <w:r>
        <w:rPr>
          <w:rFonts w:ascii="Times New Roman" w:cs="Times New Roman" w:eastAsia="Times New Roman" w:hAnsi="Times New Roman"/>
          <w:sz w:val="18"/>
          <w:szCs w:val="18"/>
          <w:color w:val="auto"/>
        </w:rPr>
        <w:t xml:space="preserve"> shall mean the aggregate Revolving Credit Commitments of all of the Lenders.</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xml:space="preserve"> shall mean collectively and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shall mean separately all Revolving Credit Loans or any Revolving Credit Loan made by the Lenders or one of the Lenders to the Borrowers pursuant to Section 2.1 [Revolving Credit Commitments] or Section 2.9.3 [Disbursements, Reimbursement].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Revolving Facility Usage</w:t>
      </w:r>
      <w:r>
        <w:rPr>
          <w:rFonts w:ascii="Times New Roman" w:cs="Times New Roman" w:eastAsia="Times New Roman" w:hAnsi="Times New Roman"/>
          <w:sz w:val="18"/>
          <w:szCs w:val="18"/>
          <w:color w:val="auto"/>
        </w:rPr>
        <w:t xml:space="preserve"> shall mean at any time the sum of the outstanding Revolving Credit Loans, the outstanding Swing Loans, and the Letter of Credit Obligations.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xml:space="preserve"> shall mean, at any time, any country, area, territory, or jurisdiction that is the subject or target of comprehensive Sanctions (as of the date of this Agreement, Cuba, Iran, North Korea, and the Crimea, Donetsk People’s Republic and Luhansk People’s Republic regions of Ukraine), as well as the Kherson and Zaporizhzhia regions of Ukraine.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shall mean any Person that is (a) located in, organized under the Laws of, or ordinarily resident in a Sanctioned Jurisdiction; (b) identified on any sanctions-related list maintained by any Compliance Authority; (c) owned 50% or more, in the aggregate, directly or indirectly by, controlled by, or acting for, on behalf of, or at the direction of, one or more Persons described in clauses (a) or (b) above; or (d) otherwise the subject or target of Sanctions.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shall mean Laws relating to economic or financial sanctions, sectoral sanctions, or secondary sanctions, administered, or enforced from time to time by any Compliance Authority.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Schedule of Accounts</w:t>
      </w:r>
      <w:r>
        <w:rPr>
          <w:rFonts w:ascii="Times New Roman" w:cs="Times New Roman" w:eastAsia="Times New Roman" w:hAnsi="Times New Roman"/>
          <w:sz w:val="18"/>
          <w:szCs w:val="18"/>
          <w:color w:val="auto"/>
        </w:rPr>
        <w:t xml:space="preserve"> shall mean a detailed aged trial balance of all then existing Accounts in form and substance satisfactory to Administrative Agent, specifying in each case the names, addresses, face amount and dates of invoice(s) for each Account Debtor obligated on an Account so listed and, such other matters and information relating to the status of the Accounts and/or the Account Debtors so scheduled as the Administrative Agent may from time to time reasonably request.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Schedule of Inventory</w:t>
      </w:r>
      <w:r>
        <w:rPr>
          <w:rFonts w:ascii="Times New Roman" w:cs="Times New Roman" w:eastAsia="Times New Roman" w:hAnsi="Times New Roman"/>
          <w:sz w:val="18"/>
          <w:szCs w:val="18"/>
          <w:color w:val="auto"/>
        </w:rPr>
        <w:t xml:space="preserve"> shall mean a current schedule of Inventory in form and substance satisfactory to the Administrative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Schedule of Payables</w:t>
      </w:r>
      <w:r>
        <w:rPr>
          <w:rFonts w:ascii="Times New Roman" w:cs="Times New Roman" w:eastAsia="Times New Roman" w:hAnsi="Times New Roman"/>
          <w:sz w:val="18"/>
          <w:szCs w:val="18"/>
          <w:color w:val="auto"/>
        </w:rPr>
        <w:t xml:space="preserve"> shall mean a detailed listing of the Loan Parties’ existing accounts payable, specifying the names of each creditor and the amount owed to such creditor and such matters and information relating to the status of the Loan Parties’ accounts payable so scheduled as the Administrative Agent may from time to time reasonably request.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shall mean the Security Agreement, dated of even date herewith, executed and delivered by each of the Loan Parties to the Administrative Agent for the benefit of the Secured Parties.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shall mean, collectively, the Administrative Agent, the Lenders, the Issuing Lender[s], the Cash Management Banks, the Hedge Banks, each co-agent or sub-agent appointed by the Administrative Agent from time to time pursuant to Section 10.5 [Delegation of Duties], and the other Persons the Obligations owing to which are or are purported to be secured by the Collateral under the terms of the Collateral Documents.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xml:space="preserve"> shall mean the applicable Business Day on which the Administrative Agent elects to effect settlement pursuant Section 5.11 [Settlement Date Procedures].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shall mean, for any day, a rate equal to the secured overnight financing rate as administered by the Federal Reserve Bank of New York (or a successor administrator of the secured overnight financing rate).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SOFR Floor</w:t>
      </w:r>
      <w:r>
        <w:rPr>
          <w:rFonts w:ascii="Times New Roman" w:cs="Times New Roman" w:eastAsia="Times New Roman" w:hAnsi="Times New Roman"/>
          <w:sz w:val="18"/>
          <w:szCs w:val="18"/>
          <w:color w:val="auto"/>
        </w:rPr>
        <w:t xml:space="preserve"> shall mean a rate of interest per annum equal to zero basis points (0.0%).</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xml:space="preserve"> shall mean, with respect to any Person on any date of determination, taking into account any right of reimbursement, contribution or similar right available to such Person from other Persons, that on such date (i) the fair value of the property of such Person is greater than the total amount of liabilities, including contingent liabilities, of such Person, (ii) the present fair saleable value of the assets of such Person is not less than the amount that will be required to pay the probable liability of such Person on its debts as they become absolute and matured, (iii) such Person is able to realize upon its assets and pay its debts and other liabilities, contingent obligations and other commitments as they mature in the normal course of business,</w:t>
      </w:r>
    </w:p>
    <w:p>
      <w:pPr>
        <w:spacing w:after="0" w:line="3" w:lineRule="exact"/>
        <w:rPr>
          <w:sz w:val="20"/>
          <w:szCs w:val="20"/>
          <w:color w:val="auto"/>
        </w:rPr>
      </w:pPr>
    </w:p>
    <w:p>
      <w:pPr>
        <w:jc w:val="both"/>
        <w:ind w:firstLine="8"/>
        <w:spacing w:after="0" w:line="253" w:lineRule="auto"/>
        <w:tabs>
          <w:tab w:leader="none" w:pos="3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8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Springing Borrowing Base Trigger Event</w:t>
      </w:r>
      <w:r>
        <w:rPr>
          <w:rFonts w:ascii="Times New Roman" w:cs="Times New Roman" w:eastAsia="Times New Roman" w:hAnsi="Times New Roman"/>
          <w:sz w:val="18"/>
          <w:szCs w:val="18"/>
          <w:color w:val="auto"/>
        </w:rPr>
        <w:t xml:space="preserve"> shall mean the Revolving Facility Usage is equal to or greater than fifty (50%) of the Revolving Credit Commitments.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left="1300"/>
        <w:spacing w:after="0"/>
        <w:rPr>
          <w:sz w:val="20"/>
          <w:szCs w:val="20"/>
          <w:color w:val="auto"/>
        </w:rPr>
      </w:pPr>
      <w:r>
        <w:rPr>
          <w:rFonts w:ascii="Times New Roman" w:cs="Times New Roman" w:eastAsia="Times New Roman" w:hAnsi="Times New Roman"/>
          <w:sz w:val="18"/>
          <w:szCs w:val="18"/>
          <w:u w:val="single" w:color="auto"/>
          <w:color w:val="auto"/>
        </w:rPr>
        <w:t>Standard &amp; Poor’s</w:t>
      </w:r>
      <w:r>
        <w:rPr>
          <w:rFonts w:ascii="Times New Roman" w:cs="Times New Roman" w:eastAsia="Times New Roman" w:hAnsi="Times New Roman"/>
          <w:sz w:val="18"/>
          <w:szCs w:val="18"/>
          <w:color w:val="auto"/>
        </w:rPr>
        <w:t xml:space="preserve"> shall mean S&amp;P Global Ratings Services, a division of S&amp;P Global,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xml:space="preserve"> shall have the meaning specified in Section 6.1.6(i) [Historical Statements].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of any Person at any time shall mean any corporation, trust, partnership, limited liability company or other business entity (i) of which more than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(ii) which is controlled or capable of being controlled by such Person or one or more of such Person’s Subsidiaries.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Subsidiary Equity Interests</w:t>
      </w:r>
      <w:r>
        <w:rPr>
          <w:rFonts w:ascii="Times New Roman" w:cs="Times New Roman" w:eastAsia="Times New Roman" w:hAnsi="Times New Roman"/>
          <w:sz w:val="18"/>
          <w:szCs w:val="18"/>
          <w:color w:val="auto"/>
        </w:rPr>
        <w:t xml:space="preserve"> shall have the meaning specified in Section 6.1.2 [Subsidiaries and Owners; Investment Companies].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Swap</w:t>
      </w:r>
      <w:r>
        <w:rPr>
          <w:rFonts w:ascii="Times New Roman" w:cs="Times New Roman" w:eastAsia="Times New Roman" w:hAnsi="Times New Roman"/>
          <w:sz w:val="18"/>
          <w:szCs w:val="18"/>
          <w:color w:val="auto"/>
        </w:rPr>
        <w:t xml:space="preserve"> shall mean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xml:space="preserve"> shall mean any obligation to pay or perform under any agreement, contract or transaction that constitutes a Swap which is also a Lender Provided Interest Rate Hedge, or a Lender Provided Foreign Currency Hedge.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Swing Loan Commitment</w:t>
      </w:r>
      <w:r>
        <w:rPr>
          <w:rFonts w:ascii="Times New Roman" w:cs="Times New Roman" w:eastAsia="Times New Roman" w:hAnsi="Times New Roman"/>
          <w:sz w:val="18"/>
          <w:szCs w:val="18"/>
          <w:color w:val="auto"/>
        </w:rPr>
        <w:t xml:space="preserve"> shall have the meaning specified in Section 2.1.2 [Swing Loan Commitment].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Swing Loan Lende</w:t>
      </w:r>
      <w:r>
        <w:rPr>
          <w:rFonts w:ascii="Times New Roman" w:cs="Times New Roman" w:eastAsia="Times New Roman" w:hAnsi="Times New Roman"/>
          <w:sz w:val="18"/>
          <w:szCs w:val="18"/>
          <w:color w:val="auto"/>
        </w:rPr>
        <w:t>r shall mean PNC, in its capacity as a lender of Swing Loans.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Swing Loan Note</w:t>
      </w:r>
      <w:r>
        <w:rPr>
          <w:rFonts w:ascii="Times New Roman" w:cs="Times New Roman" w:eastAsia="Times New Roman" w:hAnsi="Times New Roman"/>
          <w:sz w:val="18"/>
          <w:szCs w:val="18"/>
          <w:color w:val="auto"/>
        </w:rPr>
        <w:t xml:space="preserve"> shall mean the Swing Loan Note of the Borrowers in the form of </w:t>
      </w:r>
      <w:r>
        <w:rPr>
          <w:rFonts w:ascii="Times New Roman" w:cs="Times New Roman" w:eastAsia="Times New Roman" w:hAnsi="Times New Roman"/>
          <w:sz w:val="18"/>
          <w:szCs w:val="18"/>
          <w:u w:val="single" w:color="auto"/>
          <w:color w:val="auto"/>
        </w:rPr>
        <w:t>Exhibit 1.1(N)(2)</w:t>
      </w:r>
      <w:r>
        <w:rPr>
          <w:rFonts w:ascii="Times New Roman" w:cs="Times New Roman" w:eastAsia="Times New Roman" w:hAnsi="Times New Roman"/>
          <w:sz w:val="18"/>
          <w:szCs w:val="18"/>
          <w:color w:val="auto"/>
        </w:rPr>
        <w:t xml:space="preserve"> evidencing the Swing Loans, together with all amendments, extensions, renewals, replacements, refinancings or refundings thereof in whole or in part.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Swing Loan Request</w:t>
      </w:r>
      <w:r>
        <w:rPr>
          <w:rFonts w:ascii="Times New Roman" w:cs="Times New Roman" w:eastAsia="Times New Roman" w:hAnsi="Times New Roman"/>
          <w:sz w:val="18"/>
          <w:szCs w:val="18"/>
          <w:color w:val="auto"/>
        </w:rPr>
        <w:t xml:space="preserve"> shall mean a request for Swing Loans made in accordance with Section 2.5.2 [Swing Loan Requests] hereof.</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Swing Loans</w:t>
      </w:r>
      <w:r>
        <w:rPr>
          <w:rFonts w:ascii="Times New Roman" w:cs="Times New Roman" w:eastAsia="Times New Roman" w:hAnsi="Times New Roman"/>
          <w:sz w:val="18"/>
          <w:szCs w:val="18"/>
          <w:color w:val="auto"/>
        </w:rPr>
        <w:t xml:space="preserve"> shall mean collectively and </w:t>
      </w:r>
      <w:r>
        <w:rPr>
          <w:rFonts w:ascii="Times New Roman" w:cs="Times New Roman" w:eastAsia="Times New Roman" w:hAnsi="Times New Roman"/>
          <w:sz w:val="18"/>
          <w:szCs w:val="18"/>
          <w:u w:val="single" w:color="auto"/>
          <w:color w:val="auto"/>
        </w:rPr>
        <w:t>Swing Loan</w:t>
      </w:r>
      <w:r>
        <w:rPr>
          <w:rFonts w:ascii="Times New Roman" w:cs="Times New Roman" w:eastAsia="Times New Roman" w:hAnsi="Times New Roman"/>
          <w:sz w:val="18"/>
          <w:szCs w:val="18"/>
          <w:color w:val="auto"/>
        </w:rPr>
        <w:t xml:space="preserve"> shall mean separately all Swing Loans or any Swing Loan made by the Swing Loan Lender to the Borrowers pursuant to Section 2.1.2 [Swing Loan Commitment] 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shall mean all present or future taxes, levies, imposts, duties, deductions, withholdings (including backup withholding), assessments, fees or other charges imposed by any Official Body, including any interest, additions to tax or penalties applicable thereto.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xml:space="preserve"> shall mean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shall mean, with respect to any amount to which the Term SOFR Rate Option applies, for any Interest Period, the interest rate per annum 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 w:cs="Times New Roman" w:eastAsia="Times New Roman" w:hAnsi="Times New Roman"/>
          <w:sz w:val="18"/>
          <w:szCs w:val="18"/>
          <w:u w:val="single" w:color="auto"/>
          <w:color w:val="auto"/>
        </w:rPr>
        <w:t>Term SOFR Determination Date</w:t>
      </w:r>
      <w:r>
        <w:rPr>
          <w:rFonts w:ascii="Times New Roman" w:cs="Times New Roman" w:eastAsia="Times New Roman" w:hAnsi="Times New Roman"/>
          <w:sz w:val="18"/>
          <w:szCs w:val="18"/>
          <w:color w:val="auto"/>
        </w:rPr>
        <w:t>”)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the first day of each Interest Period.</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Term SOFR Rate Loan</w:t>
      </w:r>
      <w:r>
        <w:rPr>
          <w:rFonts w:ascii="Times New Roman" w:cs="Times New Roman" w:eastAsia="Times New Roman" w:hAnsi="Times New Roman"/>
          <w:sz w:val="18"/>
          <w:szCs w:val="18"/>
          <w:color w:val="auto"/>
        </w:rPr>
        <w:t xml:space="preserve"> shall mean a Loan that bears interest based on the Term SOFR Rate.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Term SOFR Rate Option</w:t>
      </w:r>
      <w:r>
        <w:rPr>
          <w:rFonts w:ascii="Times New Roman" w:cs="Times New Roman" w:eastAsia="Times New Roman" w:hAnsi="Times New Roman"/>
          <w:sz w:val="18"/>
          <w:szCs w:val="18"/>
          <w:color w:val="auto"/>
        </w:rPr>
        <w:t xml:space="preserve"> shall mean the option of the Borrower to have Loans bear interest at the rate and under the terms specified in Section 3.1.1(ii) [Revolving Credit Term SOFR Rate Option.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xml:space="preserve"> shall mean the forward-looking term rate based on SOFR.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Total Consolidated Indebtedness</w:t>
      </w:r>
      <w:r>
        <w:rPr>
          <w:rFonts w:ascii="Times New Roman" w:cs="Times New Roman" w:eastAsia="Times New Roman" w:hAnsi="Times New Roman"/>
          <w:sz w:val="18"/>
          <w:szCs w:val="18"/>
          <w:color w:val="auto"/>
        </w:rPr>
        <w:t xml:space="preserve"> shall mean, as of any date of determination, the sum of total Indebtedness of the Loan Parties and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xml:space="preserve"> shall mean the Uniform Customs and Practice for Documentary Credits, International Chamber of Commerce Publication No. 600 (or such later version thereof as may be in effect at the applicable time).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xml:space="preserve">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xml:space="preserve"> shall mean the Bank of England or any other public administrative authority having responsibility for the resolution of any UK Financial Institution.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xml:space="preserve"> shall mean, as of any date of determination, all cash and cash equivalents of the Loan Parties, other than cash and cash equivalents disclosed as restricted on the consolidated financial statements of the Loan Parties, in each case of the Loan Parties determined and combined and consolidated in accordance with GAAP.</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xml:space="preserve"> shall mean the Uniting and Strengthening America by Providing Appropriate Tools Required to Intercept and Obstruct Terrorism Act of 2001, Public Law 107-56, as the same has been, or shall hereafter be, renewed, extended, amended or replaced.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xml:space="preserve"> shall mean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xml:space="preserve"> shall mean any Person that is a “United States Person” as defined in Section 7701(a)(30) of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shall have the meaning specified in Section 5.9.7 [Status of Lenders].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shall mean any Loan Party and the Administrative Agent.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xml:space="preserve">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Unless the context of this Agreement otherwise clearly requires, the following rules of construction shall apply to this Agreement and each of the other Loan Documents: (i) references to the plural include the singular, the plural, the part and the whole and the words “include,” “includes” and “including” shall be deemed to be followed by the phrase “without limitation”; (ii) the words “hereof,” “herein,” “hereunder,” “hereto” and similar terms in this Agreement or any other Loan Document refer to this Agreement or such other Loan Document as a whole; (iii) article, section, subsection, clause, schedule and exhibit references are to this Agreement or other Loan Document, as the case may be, unless otherwise specified;</w:t>
      </w:r>
    </w:p>
    <w:p>
      <w:pPr>
        <w:spacing w:after="0" w:line="3" w:lineRule="exact"/>
        <w:rPr>
          <w:sz w:val="20"/>
          <w:szCs w:val="20"/>
          <w:color w:val="auto"/>
        </w:rPr>
      </w:pPr>
    </w:p>
    <w:p>
      <w:pPr>
        <w:jc w:val="both"/>
        <w:ind w:firstLine="8"/>
        <w:spacing w:after="0" w:line="252" w:lineRule="auto"/>
        <w:tabs>
          <w:tab w:leader="none" w:pos="3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Person includes such Person's successors and assigns; (v) reference to any agreement, including this Agreement and any other Loan Document together with the schedules and exhibits hereto or thereto, document or instrument means such agreement, document or instrument as amended, modified, replaced, substituted for, superseded or restated; (vi) relative to the determination of any period of time, “from” means “from and including,” “to” means “to but excluding,” and “through” means “through and including”; (vii) the words “asset” and “property” shall be construed to have the same meaning and effect and to refer to any and all tangible and intangible assets and properties, including cash, securities, accounts and contract rights, (viii) section headings herein and in each other Loan Document are included for convenience and shall not affect the interpretation of this Agreement or such Loan Document, and (ix) unless otherwise specified, all references herein to times of day shall constitute references to Eastern Time.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Accounting Principles; Changes in GAAP.</w:t>
      </w:r>
      <w:r>
        <w:rPr>
          <w:rFonts w:ascii="Times New Roman" w:cs="Times New Roman" w:eastAsia="Times New Roman" w:hAnsi="Times New Roman"/>
          <w:sz w:val="18"/>
          <w:szCs w:val="18"/>
          <w:color w:val="auto"/>
        </w:rPr>
        <w:t xml:space="preserve">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provided, however, that all accounting terms used in Section 8.2 [Negative Covenants] (and all defined terms used in the definition of any accounting term used in Section 8.2) shall have the meaning given to such terms (and defined terms) under GAAP as in effect on the date hereof applied on a basis consistent with those used in preparing Statements referred to in Section 6.1.6(i) [Historical Statements]. Notwithstanding the foregoing, if the Borrowers notify the Administrative Agent in writing that the Borrowers wish to amend any financial covenant in Section 8.2 of this Agreement, any related definition and/or the definition of the term Net Leverage Ratio for purposes of interest, Letter of Credit Fee and Commitment Fee determinations or any negative covenant to eliminate the effect of any change in GAAP occurring after the Closing Date on the operation of such financial covenants and/or interest, Letter of Credit Fee or Commitment Fee determinations (or if the Administrative Agent notifies the Borrowers in writing that the Required Lenders wish to amend any financial covenant in Section 8.2, any related definition and/or the definition of the term Net Leverage Ratio for purposes of interest, Letter of Credit Fee and Commitment Fee determinations or any negative covenant to eliminate the effect of any such change in GAAP), then the Administrative Agent, the Lenders and the Borrowers shall negotiate in good faith to amend such ratios or requirements to preserve the original intent thereof in light of such change in GAAP (subject to the approval of the Required Lenders); provided that, until so amended, the Loan Parties' compliance with such covenants and/or the definition of the term Net Leverage Ratio for purposes of interest, Letter of Credit Fee and Commitment Fee determinations shall be determined on the basis of GAAP in effect immediately before the relevant change in GAAP became effective, until either such notice is withdrawn or such covenants or definitions are amended in a manner satisfactory to the Borrowers and the Required Lenders, and the Loan Parties shall provide to the Administrative Agent, when they deliver their financial statements pursuant to Section 8.3.1 [Quarterly Financial Statements] and 8.3.2 [Annual Financial Statements] of this Agreement, such reconciliation statements as shall be reasonably requested by the Administrative Agent. Notwithstanding the foregoing, leases shall continue to be classified and accounted for on a basis consistent with that reflected in the Statements for all purposes of this Agreement, notwithstanding any change in GAAP relating thereto (including, but not limited to, ASU No. 2016-02), unless the parties hereto shall enter into a mutually acceptable amendment addressing such changes, as provided for above.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Benchmark Replacement Notification; Rates</w:t>
      </w:r>
      <w:r>
        <w:rPr>
          <w:rFonts w:ascii="Times New Roman" w:cs="Times New Roman" w:eastAsia="Times New Roman" w:hAnsi="Times New Roman"/>
          <w:sz w:val="18"/>
          <w:szCs w:val="18"/>
          <w:color w:val="auto"/>
        </w:rPr>
        <w:t>. Section 4.4.4 [Benchmark Replacement Setting] of this Agreement provides a mechanism for determining an alternative rate of interest in the event that any Benchmark is no longer available or in certain other circumstances. The Administrative Agent does not warrant or accept any responsibility for and shall not have any liability with respect to, (a) the continuation of, administration of, submission of or calculation of, or any other matter related to, any Benchmark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Borrower or any other person or entity.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Conforming Changes Relating to the Term SOFR Rate</w:t>
      </w:r>
      <w:r>
        <w:rPr>
          <w:rFonts w:ascii="Times New Roman" w:cs="Times New Roman" w:eastAsia="Times New Roman" w:hAnsi="Times New Roman"/>
          <w:sz w:val="18"/>
          <w:szCs w:val="18"/>
          <w:color w:val="auto"/>
        </w:rPr>
        <w:t>. With respect to the Term SOFR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Administrative Agent shall provide notice to the Borrower and the Lenders of each such amendment implementing such Conforming Changes reasonably promptly after such amendment becomes effective.</w:t>
      </w:r>
    </w:p>
    <w:p>
      <w:pPr>
        <w:spacing w:after="0" w:line="183" w:lineRule="exact"/>
        <w:rPr>
          <w:sz w:val="20"/>
          <w:szCs w:val="20"/>
          <w:color w:val="auto"/>
        </w:rPr>
      </w:pPr>
    </w:p>
    <w:p>
      <w:pPr>
        <w:ind w:left="3740" w:hanging="575"/>
        <w:spacing w:after="0"/>
        <w:tabs>
          <w:tab w:leader="none" w:pos="3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AND SWING LOAN FACILITIES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Revolving Credit Commitments.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xml:space="preserve"> Subject to the terms and conditions hereof and relying upon the representations and warranties herein set forth, each Lender severally agrees to make Revolving Credit Loans to the Borrowers at any time or from time to time on or after the date hereof to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each such Loan (i) the aggregate amount of Revolving Credit Loans from such Lender shall not exceed such Lender’s Revolving Credit Commitment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such Lender’s Ratable Share of the outstanding Swing Loans and Letter of Credit Obligations and (ii) the Revolving Facility Usage shall not exceed the Revolving Credit Commitments. Within such limits of time and amount and subject to the other provisions of this Agreement, the Borrowers may borrow, repay and reborrow pursuant to this Section 2.1.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Swing Loan Commitment.</w:t>
      </w:r>
      <w:r>
        <w:rPr>
          <w:rFonts w:ascii="Times New Roman" w:cs="Times New Roman" w:eastAsia="Times New Roman" w:hAnsi="Times New Roman"/>
          <w:sz w:val="18"/>
          <w:szCs w:val="18"/>
          <w:color w:val="auto"/>
        </w:rPr>
        <w:t xml:space="preserve"> Subject to the terms and conditions hereof and relying upon the representations and warranties herein set forth, and in order to facilitate loans and repayments between Settlement Dates, the Swing Loan Lender may, at its option, cancelable at any time for any reason whatsoever, make swing loans (the “</w:t>
      </w:r>
      <w:r>
        <w:rPr>
          <w:rFonts w:ascii="Times New Roman" w:cs="Times New Roman" w:eastAsia="Times New Roman" w:hAnsi="Times New Roman"/>
          <w:sz w:val="18"/>
          <w:szCs w:val="18"/>
          <w:b w:val="1"/>
          <w:bCs w:val="1"/>
          <w:color w:val="auto"/>
        </w:rPr>
        <w:t>Swing Loans</w:t>
      </w:r>
      <w:r>
        <w:rPr>
          <w:rFonts w:ascii="Times New Roman" w:cs="Times New Roman" w:eastAsia="Times New Roman" w:hAnsi="Times New Roman"/>
          <w:sz w:val="18"/>
          <w:szCs w:val="18"/>
          <w:color w:val="auto"/>
        </w:rPr>
        <w:t>”) to the Borrowers at any time or from time to time after the date hereof to, but not including, the Expiration Date, in an aggregate principal amount up to but not in excess of $10,000,000.00 (the “</w:t>
      </w:r>
      <w:r>
        <w:rPr>
          <w:rFonts w:ascii="Times New Roman" w:cs="Times New Roman" w:eastAsia="Times New Roman" w:hAnsi="Times New Roman"/>
          <w:sz w:val="18"/>
          <w:szCs w:val="18"/>
          <w:b w:val="1"/>
          <w:bCs w:val="1"/>
          <w:color w:val="auto"/>
        </w:rPr>
        <w:t>Swing Loan Commitment</w:t>
      </w:r>
      <w:r>
        <w:rPr>
          <w:rFonts w:ascii="Times New Roman" w:cs="Times New Roman" w:eastAsia="Times New Roman" w:hAnsi="Times New Roman"/>
          <w:sz w:val="18"/>
          <w:szCs w:val="18"/>
          <w:color w:val="auto"/>
        </w:rPr>
        <w:t>”), provided that after giving effect to such Swing Loan, (i) the aggregate amount of any Lender’s Revolving Credit Loans plus such Lender’s Ratable Share of the outstanding Swing Loans and Letter of Credit Obligations shall not exceed such Lender’s Revolving Credit Commitment, and (ii) the Revolving Facility Usage shall not exceed the aggregate Revolving Credit Commitments of the Lenders. Within such limits of time and amount and subject to the other provisions of this Agreement, the Borrowers may borrow, repay and reborrow pursuant to this Section 2.1.2.</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Nature of Lenders' Obligations with Respect to Revolving Credit Loans.</w:t>
      </w:r>
      <w:r>
        <w:rPr>
          <w:rFonts w:ascii="Times New Roman" w:cs="Times New Roman" w:eastAsia="Times New Roman" w:hAnsi="Times New Roman"/>
          <w:sz w:val="18"/>
          <w:szCs w:val="18"/>
          <w:color w:val="auto"/>
        </w:rPr>
        <w:t xml:space="preserve"> Each Lender shall be obligated to participate in each request for Revolving Credit Loans pursuant to Section 2.5 [Revolving Credit Loan Requests; Swing Loan Requests] in accordance with its Ratable Share. The aggregate of each Lender’s Revolving Credit Loans outstanding hereunder to the Borrowers at any time shall never exceed its Revolving Credit Commitment in effect at such time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its Ratable Share of the outstanding Swing Loans and Letter of Credit Obligations. The obligations of each Lender hereunder are several. The failure of any Lender to perform its obligations hereunder shall not affect the Obligations of the Borrowers to any other party nor shall any other party be liable for the failure of such Lender to perform its obligations hereunder. The Lenders shall have no obligation to make Revolving Credit Loans hereunder on or after the Expiration Date.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 xml:space="preserve"> Accruing for each day from the date hereof until the Expiration Date (and without regard to whether the conditions to making Revolving Credit Loans are then met), the Borrowers agree to pay to the Administrative Agent for the account of each Lender according to its Ratable Share, a nonrefundable commitment fee (the “</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equal to the Applicable Commitment Fee Rate (computed on the basis of a year of 365 or 366 days, as the case may be, and actual days elapsed) multiplied by the daily difference between the amount of (i) the Revolving Credit Commitments and (ii) the Revolving Facility Usage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solely in connection with determining the share of each Lender in the Commitment Fee, the Revolving Facility Usage with respect to the portion of the Commitment Fee allocated to PNC shall include the full amount of the outstanding Swing Loans, and with respect to the portion of the Commitment Fee allocated by the Administrative Agent to all of the Lenders other than PNC, such portion of the Commitment Fee shall be calculated (according to each such Lender’s Ratable Share) as if the Revolving Facility Usage excludes the outstanding Swing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Commitment Fee accrued with respect to the Revolving Credit Commitment of a Defaulting Lender during the period prior to the time such Lender became a Defaulting Lender and unpaid at such time shall not be payable by the Borrowers so long as such Lender shall be a Defaulting Lender except to the extent that such Commitment Fee shall otherwise have been due and payable by the Borrowers prior to such time;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Commitment Fee shall accrue with respect to the Revolving Credit Commitment of a Defaulting Lender so long as such Lender shall be a Defaulting Lender. Subject to the proviso in the directly preceding sentence, all Commitment Fees shall be payable in arrears on each Payment Date.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Termination or Reduction of Revolving Credit Commitments.</w:t>
      </w:r>
      <w:r>
        <w:rPr>
          <w:rFonts w:ascii="Times New Roman" w:cs="Times New Roman" w:eastAsia="Times New Roman" w:hAnsi="Times New Roman"/>
          <w:sz w:val="18"/>
          <w:szCs w:val="18"/>
          <w:color w:val="auto"/>
        </w:rPr>
        <w:t xml:space="preserve"> The Borrowers shall have the right, upon not less than three (3) Business Days’ notice to the Administrative Agent, to terminate the Revolving Credit Commitments or, from time to time, to reduce the aggregate amount of the Revolving Credit Commitments (ratably among the Lenders in proportion to their Ratable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and provided further that in the event the Revolving Credit Commitments are reduced to an aggregate amount less than the Letter of Credit Sublimit or the Swing Loan Commitment then in effect, the Letter of Credit Sublimit and the Swing Loan Commitment, as applicable, shall be reduced by an amount such that none of the Letter of Credit Sublimit and the Swing Loan Commitment, as applicable, exceed the Revolving Credit Commitments. Any such reduction shall be in an amount equal to $5,000,000 or a whole multiple thereof and shall reduce permanently the Revolving Credit Commitments then in effect. Any such reduction or termination shall be accompanied by prepayment of the Notes, together with outstanding Commitment Fees, and the full amount of interest accrued on the principal sum to be prepaid (and all amounts referred to in Section 5.10 [Indemnity] hereof) to the extent necessary to cause the aggregate Revolving Facility Usage after giving effect to such prepayments to be equal to or less than the Revolving Credit Commitments as so reduced or terminated. Any notice to reduce the Revolving Credit Commitments under this Section 2.4 shall be irrevocable.</w:t>
      </w:r>
    </w:p>
    <w:p>
      <w:pPr>
        <w:spacing w:after="0" w:line="18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Revolving Credit Loan Requests; Swing Loan Requests.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Revolving Credit Loan Requests.</w:t>
      </w:r>
      <w:r>
        <w:rPr>
          <w:rFonts w:ascii="Times New Roman" w:cs="Times New Roman" w:eastAsia="Times New Roman" w:hAnsi="Times New Roman"/>
          <w:sz w:val="18"/>
          <w:szCs w:val="18"/>
          <w:color w:val="auto"/>
        </w:rPr>
        <w:t xml:space="preserve"> Except as otherwise provided herein, the Borrowers may from time to time prior to the Expiration Date request the Lenders to make Revolving Credit Loans, or renew or convert the Interest Rate Option applicable to existing Revolving Credit Loans pursuant to Section 4.2 [Interest Periods], by delivering to the Administrative Agent, not later than 1:00 p.m., (i) three (3) Business Days prior to the proposed Borrowing Date with respect to the making of Revolving Credit Loans to which the Term SOFR Rate Option applies or the conversion to or the renewal of the Term SOFR Rate Option for any Loans; and (ii) the same Business Day of the proposed Borrowing Date with respect to the making of a Revolving Credit Loan to which the Base Rate Option applies or the last day of the preceding Interest Period with respect to the conversion to the Base Rate Option for any Loan, a duly completed request therefor substantially in the form of </w:t>
      </w:r>
      <w:r>
        <w:rPr>
          <w:rFonts w:ascii="Times New Roman" w:cs="Times New Roman" w:eastAsia="Times New Roman" w:hAnsi="Times New Roman"/>
          <w:sz w:val="18"/>
          <w:szCs w:val="18"/>
          <w:u w:val="single" w:color="auto"/>
          <w:color w:val="auto"/>
        </w:rPr>
        <w:t>Exhibit 2.5.1</w:t>
      </w:r>
      <w:r>
        <w:rPr>
          <w:rFonts w:ascii="Times New Roman" w:cs="Times New Roman" w:eastAsia="Times New Roman" w:hAnsi="Times New Roman"/>
          <w:sz w:val="18"/>
          <w:szCs w:val="18"/>
          <w:color w:val="auto"/>
        </w:rPr>
        <w:t xml:space="preserve"> or a request by telephone immediately confirmed in writing by letter, facsimile or telex in such form (each, a “</w:t>
      </w:r>
      <w:r>
        <w:rPr>
          <w:rFonts w:ascii="Times New Roman" w:cs="Times New Roman" w:eastAsia="Times New Roman" w:hAnsi="Times New Roman"/>
          <w:sz w:val="18"/>
          <w:szCs w:val="18"/>
          <w:b w:val="1"/>
          <w:bCs w:val="1"/>
          <w:color w:val="auto"/>
        </w:rPr>
        <w:t>Loan Request</w:t>
      </w:r>
      <w:r>
        <w:rPr>
          <w:rFonts w:ascii="Times New Roman" w:cs="Times New Roman" w:eastAsia="Times New Roman" w:hAnsi="Times New Roman"/>
          <w:sz w:val="18"/>
          <w:szCs w:val="18"/>
          <w:color w:val="auto"/>
        </w:rPr>
        <w:t>”), it being understood that the Administrative Agent may rely on the authority of any individual making such a telephonic request without the necessity of receipt of such written confirmation. Each Loan Request shall be irrevocable and shall specify the Interest Rate Option and the aggregate amount of the proposed Loans comprising each Borrowing Tranche, and, if applicable, the Interest Period, which amounts shall be in (x) integral multiples of $500,000 and not less than $1,000,000 for each Borrowing Tranche under the Term SOFR Rate Option, and (y) integral multiples of $100,000 and not less than $500,000 for each Borrowing Tranche under the Base Rate Option. In the case of a renewal of a Term SOFR Rate Option at the end of an Interest Period, the first day of the new Interest Period shall be the last day of the preceding Interest Period, without duplication in payment of interest for such day.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Swing Loan Requests.</w:t>
      </w:r>
      <w:r>
        <w:rPr>
          <w:rFonts w:ascii="Times New Roman" w:cs="Times New Roman" w:eastAsia="Times New Roman" w:hAnsi="Times New Roman"/>
          <w:sz w:val="18"/>
          <w:szCs w:val="18"/>
          <w:color w:val="auto"/>
        </w:rPr>
        <w:t xml:space="preserve"> Except as otherwise provided herein, the Borrowers may from time to time prior to the Expiration Date request the Swing Loan Lender to make Swing Loans by delivery to the Swing Loan Lender not later than 1:00 p.m. on the proposed Borrowing Date of a duly completed request therefor substantially in the form of </w:t>
      </w:r>
      <w:r>
        <w:rPr>
          <w:rFonts w:ascii="Times New Roman" w:cs="Times New Roman" w:eastAsia="Times New Roman" w:hAnsi="Times New Roman"/>
          <w:sz w:val="18"/>
          <w:szCs w:val="18"/>
          <w:u w:val="single" w:color="auto"/>
          <w:color w:val="auto"/>
        </w:rPr>
        <w:t>Exhibit 2.5.2</w:t>
      </w:r>
      <w:r>
        <w:rPr>
          <w:rFonts w:ascii="Times New Roman" w:cs="Times New Roman" w:eastAsia="Times New Roman" w:hAnsi="Times New Roman"/>
          <w:sz w:val="18"/>
          <w:szCs w:val="18"/>
          <w:color w:val="auto"/>
        </w:rPr>
        <w:t xml:space="preserve"> hereto or a request by telephone immediately confirmed in writing by letter, facsimile or telex (each, a “</w:t>
      </w:r>
      <w:r>
        <w:rPr>
          <w:rFonts w:ascii="Times New Roman" w:cs="Times New Roman" w:eastAsia="Times New Roman" w:hAnsi="Times New Roman"/>
          <w:sz w:val="18"/>
          <w:szCs w:val="18"/>
          <w:b w:val="1"/>
          <w:bCs w:val="1"/>
          <w:color w:val="auto"/>
        </w:rPr>
        <w:t>Swing Loan Request</w:t>
      </w:r>
      <w:r>
        <w:rPr>
          <w:rFonts w:ascii="Times New Roman" w:cs="Times New Roman" w:eastAsia="Times New Roman" w:hAnsi="Times New Roman"/>
          <w:sz w:val="18"/>
          <w:szCs w:val="18"/>
          <w:color w:val="auto"/>
        </w:rPr>
        <w:t>”), it being understood that the Administrative Agent may rely on the authority of any individual making such a telephonic request without the necessity of receipt of such written confirmation. Each Swing Loan Request shall be irrevocable and shall specify the proposed Borrowing Date and the principal amount of such Swing Loan, which shall be not less than $100,000.</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Making Revolving Credit Loans and Swing Loans; Presumptions by the Administrative Agent; Repayment of Revolving Credit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Borrowings to Repay Swing Loans.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Making Revolving Credit Loans.</w:t>
      </w:r>
      <w:r>
        <w:rPr>
          <w:rFonts w:ascii="Times New Roman" w:cs="Times New Roman" w:eastAsia="Times New Roman" w:hAnsi="Times New Roman"/>
          <w:sz w:val="18"/>
          <w:szCs w:val="18"/>
          <w:color w:val="auto"/>
        </w:rPr>
        <w:t xml:space="preserve"> The Administrative Agent shall, promptly after receipt by it of a Loan Request pursuant to Section 2.5 [Revolving Credit Loan Requests; Swing Loan Requests], notify the Lenders of its receipt of such Loan Request specifying the information provided by the Borrowers and the apportionment among the Lenders of the requested Revolving Credit Loans as determined by the Administrative Agent in accordance with Section 2.2 [Nature of Lenders' Obligations with Respect to Revolving Credit Loans]. Each Lender shall remit its apportioned share (as provided to it by the Administrative Agent) of the principal amount of each Revolving Credit Loan to the Administrative Agent such that the Administrative Agent is able to, and the Administrative Agent shall, to the extent the Lenders have made funds available to it for such purpose and subject to Section 7.2 [Each Loan or Letter of Credit], fund such Revolving Credit Loans to the Borrowers in U.S. Dollars and immediately available funds at the Principal Office prior to 3:00 p.m., on the applicable Borrowing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Section 2.6.2 [Presumptions by the Administrative Agent].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Presumptions by the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time of any Loan that such Lender will not make available to the Administrative Agent such Lender's share of such Loan, the Administrative Agent may assume that such Lender has made such share available on such date in accordance with Section 2.6.1 [Making Revolving Credit Loans] and may, in reliance upon such assumption, make available to the Borrowers a corresponding amount. In such event, if a Lender has not in fact made its share of the applicable Loan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a payment to be made by such Lender, the greater of the Effective Federal Funds Rate and a rate determined by the Administrative Agent in accordance with banking industry rules on interbank compensation and (ii) in the case of a payment to be made by the Borrowers, the interest rate applicable to Loans under the Base Rate Option. If such Lender pays its share of the applicable Loan to the Administrative Agent, then the amount so paid shall constitute such Lender’s Loan. Any payment by the Borrowers shall be without prejudice to any claim the Borrowers may have against a Lender that shall have failed to make such payment to the Administrative Agent.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u w:val="single" w:color="auto"/>
          <w:color w:val="auto"/>
        </w:rPr>
        <w:t>Making Swing Loans.</w:t>
      </w:r>
      <w:r>
        <w:rPr>
          <w:rFonts w:ascii="Times New Roman" w:cs="Times New Roman" w:eastAsia="Times New Roman" w:hAnsi="Times New Roman"/>
          <w:sz w:val="18"/>
          <w:szCs w:val="18"/>
          <w:color w:val="auto"/>
        </w:rPr>
        <w:t xml:space="preserve"> So long as the Swing Loan Lender elects to make Swing Loans, the Swing Loan Lender shall, after receipt by it of a Swing Loan Request pursuant to Section 2.5.2, [Swing Loan Requests] fund such Swing Loan to the Borrowers in U.S. Dollars and immediately available funds at the Principal Office prior to 4:00 p.m. on the Borrowing Date.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2.6.4 </w:t>
      </w:r>
      <w:r>
        <w:rPr>
          <w:rFonts w:ascii="Times New Roman" w:cs="Times New Roman" w:eastAsia="Times New Roman" w:hAnsi="Times New Roman"/>
          <w:sz w:val="18"/>
          <w:szCs w:val="18"/>
          <w:u w:val="single" w:color="auto"/>
          <w:color w:val="auto"/>
        </w:rPr>
        <w:t>Repayment of Revolving Credit Loans.</w:t>
      </w:r>
      <w:r>
        <w:rPr>
          <w:rFonts w:ascii="Times New Roman" w:cs="Times New Roman" w:eastAsia="Times New Roman" w:hAnsi="Times New Roman"/>
          <w:sz w:val="18"/>
          <w:szCs w:val="18"/>
          <w:color w:val="auto"/>
        </w:rPr>
        <w:t xml:space="preserve"> The Borrowers shall repay the outstanding principal amount of all Revolving Credit Loans together with all outstanding interest thereon on the Expiration Date.</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7"/>
          <w:szCs w:val="17"/>
          <w:u w:val="single" w:color="auto"/>
          <w:color w:val="auto"/>
        </w:rPr>
        <w:t>Borrowings to Repay Swing Loans.</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2.6.5.1 Upon the making of a Swing Loan (whether before or after the occurrence of a Potential Default or an Event of Default and regardless of whether a settlement has been requested with respect to such Swing Loan), each Lender shall be deemed, without further action by any party hereto, to have unconditionally and irrevocably purchased from PNC, without recourse or warranty, an undivided interest and participation in such Swing Loan in proportion to its Ratable Share. The Swing Loan Lender may, at its option, exercisable at any time for any reason whatsoever, demand repayment of any or all of the outstanding Swing Loans, and each Lender shall immediately either (i) make a Revolving Credit Loan in an amount equal to such Lender's Ratable Share of the aggregate principal amount of the outstanding Swing Loans with respect to which repayment is demaneded,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if the Swing Loan Lender so requests, accrued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obligated in any event to make aggregate Revolving Credit Loans in excess of its Revolving Credit Commitment in effect at such time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its Ratable Share of Letter of Credit Obligations and minus its Ratable Share of any Swing Loans not so being repaid, or (ii) during the continuance of an Insolvency Proceeding or Relief Proceeding with respect to a Borrower, fund such Swing Loan participations by paying to the Swing Loan Lender such Lender’s Ratable Share of the outstanding Swing Loans. Revolving Credit Loans made pursuant to the preceding sentence shall bear interest at the Base Rate Option and shall be deemed to have been properly requested in accordance with Section 2.5.1 [Revolving Credit Loan Requests] without regard to any of the requirements of that provision. The Swing Loan Lender shall provide notice to the Lenders (which may be telephonic or written notice by letter, facsimile or telex) that such Revolving Credit Loans are to be made under this Section 2.6.5 and of the apportionment among the Lenders, and the Lenders shall be unconditionally obligated to fund such Revolving Credit Loans (whether or not the conditions specified in Section 2.5.1 [Revolving Credit Loan Requests] are then satisfied) by the time the Swing Loan Lender so requests, which shall not be earlier than 3:00 p.m. on the Business Day next after the date the Lenders receive such notice from the Swing Loan Lender.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2.6.5.2 If any Lender fails to make available to the Administrative Agent for the account of PNC (as the Swing Loan Lender) any amount required to be paid by such Lender pursuant to the foregoing provisions of this Section 2.6.5 by the time specified in Section 2.6.5.1, the Swing Loan Lender shall be entitled to recover from such Lender (acting through the Administrative Agent), on demand, such amount with interest thereon for the period from the date such payment is required to the date on which such payment is immediately available to the Swing Loan Lender at a rate per annum equal to the greater of the Effective Federal Funds Rate and a rate determined by the Administrative Agent in accordance with banking industry rules on interbank compensation, plus any administrative, processing or similar fees customarily charged by the Swing Loan Lender in connection with the foregoing. If such Lender pays such amount (with interest and fees as aforesaid), the amount so paid shall constitute such Lender’s Revolving Credit Loan with respect to such prepayment. A certificate of the Swing Loan Lender submitted to any Lender (through the Administrative Agent) with respect to any amounts owing under this Section 2.6.5.2 shall be conclusive absent manifest error.</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2.6.6 </w:t>
      </w:r>
      <w:r>
        <w:rPr>
          <w:rFonts w:ascii="Times New Roman" w:cs="Times New Roman" w:eastAsia="Times New Roman" w:hAnsi="Times New Roman"/>
          <w:sz w:val="18"/>
          <w:szCs w:val="18"/>
          <w:u w:val="single" w:color="auto"/>
          <w:color w:val="auto"/>
        </w:rPr>
        <w:t>Swing Loans Under Cash Management Agreements.</w:t>
      </w:r>
      <w:r>
        <w:rPr>
          <w:rFonts w:ascii="Times New Roman" w:cs="Times New Roman" w:eastAsia="Times New Roman" w:hAnsi="Times New Roman"/>
          <w:sz w:val="18"/>
          <w:szCs w:val="18"/>
          <w:color w:val="auto"/>
        </w:rPr>
        <w:t xml:space="preserve"> In addition to making Swing Loans pursuant to the foregoing provisions of Section 2.6.3 [Making Swing Loans], without the requirement for a specific request from the Borrowers pursuant to Section 2.5.2 [Swing Loan Requests], the Swing Loan Lender may make Swing Loans to the Borrowers in accordance with the provisions of the agreements between the Borrowers and such Swing Loan Lender relating to the Borrowers’ deposit, sweep and other accounts at such Swing Loan Lender and related arrangements and agreements regarding the management and investment of the Borrowers’ cash assets as in effect from time to time (the </w:t>
      </w:r>
      <w:r>
        <w:rPr>
          <w:rFonts w:ascii="Times New Roman" w:cs="Times New Roman" w:eastAsia="Times New Roman" w:hAnsi="Times New Roman"/>
          <w:sz w:val="18"/>
          <w:szCs w:val="18"/>
          <w:b w:val="1"/>
          <w:bCs w:val="1"/>
          <w:color w:val="auto"/>
        </w:rPr>
        <w:t>“Cash Management Agreements”</w:t>
      </w:r>
      <w:r>
        <w:rPr>
          <w:rFonts w:ascii="Times New Roman" w:cs="Times New Roman" w:eastAsia="Times New Roman" w:hAnsi="Times New Roman"/>
          <w:sz w:val="18"/>
          <w:szCs w:val="18"/>
          <w:color w:val="auto"/>
        </w:rPr>
        <w:t>) to the extent of the daily aggregate net negative balance in the Borrowers’ accounts which are subject to the provisions of the Cash Management Agreements. Swing Loans made pursuant to this Section 2.6.6 in accordance with the provisions of the Cash Management Agreements shall (i) be subject to the limitations as to aggregate amount set forth in Section 2.1.2 [Swing Loan Commitment], (ii) not be subject to the limitations as to individual amount set forth in Section 2.5.2 [Swing Loan Requests], (iii) be payable by the Borrowers, both as to principal and interest, at the rates and times set forth in the Cash Management Agreements (but in no event later than the Expiration Date), (iv) not be made at any time after such Swing Loan Lender has received written notice of the occurrence of an Event of Default and so long as such shall continue to exist, or, unless consented to by the Required Lenders, a Potential Default and so long as such shall continue to exist, (v) if not repaid by the Borrowers in accordance with the provisions of the Cash Management Agreements, be subject to each Lender's obligation pursuant to Section 2.6.5 [Borrowings to Repay Swing Loans], and (vi) except as provided in the foregoing subsections (i) through (v), be subject to all of the terms and conditions of this Section 2.</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The Obligation of the Borrowers to repay the aggregate unpaid principal amount of the Revolving Credit Loans and Swing Loans made to it by each Lender, together with interest thereon, may (if requested by a particular Lender) be evidenced by a Note, dated the Closing Date payable to the order of such Lender in a face amount equal to the Revolving Credit Commitment or the Swing Loan Commitment, as applicable, of such Lender.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Loans shall be used (a) to refinance existing Indebtedness outstanding under the Existing Credit Agreement, (b) to fund ongoing working capital needs and for Capital Expenditures and general corporate purposes, and (c) to finance Permitted Acquisitions.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u w:val="single" w:color="auto"/>
          <w:color w:val="auto"/>
        </w:rPr>
        <w:t>Letter of Credit Subfacility.</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u w:val="single" w:color="auto"/>
          <w:color w:val="auto"/>
        </w:rPr>
        <w:t>Issuance of Letters of Credit.</w:t>
      </w:r>
      <w:r>
        <w:rPr>
          <w:rFonts w:ascii="Times New Roman" w:cs="Times New Roman" w:eastAsia="Times New Roman" w:hAnsi="Times New Roman"/>
          <w:sz w:val="18"/>
          <w:szCs w:val="18"/>
          <w:color w:val="auto"/>
        </w:rPr>
        <w:t xml:space="preserve"> The Borrowers or any Loan Party may at any time prior to the Expiration Date request the issuance of a letter of credit (each a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xml:space="preserve">”) for its own account or the account of another Loan Party, or the amendment or extension of an existing Letter of Credit, by delivering or transmitting electronically, or having such other Loan Party deliver or transmit electronically to the Issuing Lender (with a copy to the Administrative Agent) a completed application for letter of credit, or request for such amendment or extension, as applicable, in such form as the Issuing Lender may specify from time to time by no later than 10:00 a.m. at least five (5) Business Days, or such shorter period as may be agreed to by the Issuing Lender, in advance of the proposed date of issuance, amendment or extension. The Borrowers or any Loan Party shall authorize and direct the Issuing Lender to name the Borrowers or any Loan Party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such Issuing Lender will provide the Administrative Agent with a copy thereof. All letters of credit which are identified on </w:t>
      </w:r>
      <w:r>
        <w:rPr>
          <w:rFonts w:ascii="Times New Roman" w:cs="Times New Roman" w:eastAsia="Times New Roman" w:hAnsi="Times New Roman"/>
          <w:sz w:val="18"/>
          <w:szCs w:val="18"/>
          <w:u w:val="single" w:color="auto"/>
          <w:color w:val="auto"/>
        </w:rPr>
        <w:t>Schedule 2.9.1</w:t>
      </w:r>
      <w:r>
        <w:rPr>
          <w:rFonts w:ascii="Times New Roman" w:cs="Times New Roman" w:eastAsia="Times New Roman" w:hAnsi="Times New Roman"/>
          <w:sz w:val="18"/>
          <w:szCs w:val="18"/>
          <w:color w:val="auto"/>
        </w:rPr>
        <w:t xml:space="preserve"> hereto, which shall consist of all letters of credit outstanding on the Closing Date under the Existing Credit Agreement, shall be deemed to have been issued under this Agreement and shall constitute Letters of Credit hereunder.</w:t>
      </w:r>
    </w:p>
    <w:p>
      <w:pPr>
        <w:spacing w:after="0" w:line="19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2.9.1.1 Unless the Issuing Lender has received notice from any Lender, the Administrative Agent or any Loan Party, at least one (1) day prior to the requested date of issuance, amendment or extension of the applicable Letter of Credit, that one or more applicable conditions in Section 7 [Conditions of Lending and Issuance of Letters of Credit] is not satisfied, then, subject to the terms and conditions hereof and in reliance on the agreements of the other Lenders set forth in this Section 2.9, the Issuing Lender or any of the Issuing Lender’s Affiliates will issue the proposed Letter of Credit or agree to such amendment or extension, provided that each Letter of Credit shall (A) have a maximum maturity of twelve (12) months from the date of issuance, and (B) in no event expire later than the Expiration Date and provided further that in no event shall (i) the Letter of Credit Obligations exceed, at any one time, $10,000,000.00 (the “</w:t>
      </w:r>
      <w:r>
        <w:rPr>
          <w:rFonts w:ascii="Times New Roman" w:cs="Times New Roman" w:eastAsia="Times New Roman" w:hAnsi="Times New Roman"/>
          <w:sz w:val="18"/>
          <w:szCs w:val="18"/>
          <w:b w:val="1"/>
          <w:bCs w:val="1"/>
          <w:color w:val="auto"/>
        </w:rPr>
        <w:t>Letter of Credit Sublimit</w:t>
      </w:r>
      <w:r>
        <w:rPr>
          <w:rFonts w:ascii="Times New Roman" w:cs="Times New Roman" w:eastAsia="Times New Roman" w:hAnsi="Times New Roman"/>
          <w:sz w:val="18"/>
          <w:szCs w:val="18"/>
          <w:color w:val="auto"/>
        </w:rPr>
        <w:t>”) or (ii) the Revolving Facility Usage exceed, at any one time, the Revolving Credit Commitments in effect at such time. Each request by the Borrowers for the issuance, amendment or extension of a Letter of Credit shall be deemed to be a representation by the Borrowers that it shall be in compliance with the preceding sentence and with Section 7 [Conditions of Lending and Issuance of Letters of Credit] after giving effect to the requested issuance, amendment or extension of such Letter of Credit. Promptly after its delivery of any Letter of Credit or any amendment to a Letter of Credit to the beneficiary thereof, the applicable Issuing Lender will also deliver to the Borrowers and the Administrative Agent a true and complete copy of such Letter of Credit or amendment.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2.9.1.2 Notwithstanding Section 2.9.1.1, the Issuing Lender shall not be under any obligation to issue any Letter of Credit if (i) any order, judgment or decree of any Official Body or arbitrator shall by its terms purport to enjoin or restrain the Issuing Lender from issuing the Letter of Credit, or any Law applicable to the Issuing Lender or any request or directive (whether or not having the force of law) from any Official Body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Closing Date, or any such order, judgement or decree, or Law request of directive, shall impose upon the Issuing Lender any unreimbursed loss, cost or expense which was not applicable on the Closing Date and which the Issuing Lender in good faith deems material to it, (ii) the issuance of the Letter of Credit would violate one or more policies of the Issuing Lender applicable to letters of credit generally, or (iii) any Lender is at that time a Defaulting Lender, unless the Issuing Lender has entered into arrangements, including the delivery of Cash Collateral, satisfactory to the Issuing Lender (in its sole discretion) with the Borrower or such Lender to eliminate the Issuing Lender’s actual or potential Fronting Exposure (after giving effect to Section 2.10.1(iv) [Reallocation of Participations to Reduce Fronting Exposure] with respect to the Defaulting Lender arising from either the Letter of Credit then proposed to be issued or that Letter of Credit and all other Letter of Credit Obligations as to which the Issuing Lender has actual or potential Fronting Exposure, as it may elect in its sole discretion.</w:t>
      </w:r>
    </w:p>
    <w:p>
      <w:pPr>
        <w:spacing w:after="0" w:line="18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2.9.1.3 Unless otherwise agreed by an Issuing Lender when a Letter of Credit is issued or amended (including any such agreement applicable to an Existing Letter of Credit), (i) the rules of the ISP shall be stated therein to apply to each standby letter of credit, and (ii) the rules of the UCP shall be stated therein to apply to each commercial letter of credit. Notwithstanding the foregoing, no Issuing Lender shall be responsible to the Borrower for, and such Issuing Lender’s rights and remedies against the Borrower shall not be impaired by, any action or inaction of such Issuing Lender required or permitted under any law, order, or practice that is required or permitted to be applied to any Letter of Credit or this Agreement, including the Laws or any order of a jurisdiction where such Issuing Lender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2.9.2 </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Borrowers shall pay (i) to the Administrative Agent for the ratable account of the Lenders a fee (the “</w:t>
      </w:r>
      <w:r>
        <w:rPr>
          <w:rFonts w:ascii="Times New Roman" w:cs="Times New Roman" w:eastAsia="Times New Roman" w:hAnsi="Times New Roman"/>
          <w:sz w:val="18"/>
          <w:szCs w:val="18"/>
          <w:b w:val="1"/>
          <w:bCs w:val="1"/>
          <w:color w:val="auto"/>
        </w:rPr>
        <w:t>Letter of Credit Fee</w:t>
      </w:r>
      <w:r>
        <w:rPr>
          <w:rFonts w:ascii="Times New Roman" w:cs="Times New Roman" w:eastAsia="Times New Roman" w:hAnsi="Times New Roman"/>
          <w:sz w:val="18"/>
          <w:szCs w:val="18"/>
          <w:color w:val="auto"/>
        </w:rPr>
        <w:t>”) equal to the Applicable Letter of Credit Fee Rate on the daily amount available to be drawn under each Letter of Credit, and (ii) to the Issuing Lender for its own account a fronting fee equal to 0.125% per annum on the daily amount available to be drawn under each Letter of Credit. All Letter of Credit Fees and fronting fees shall be computed on the basis of a year of 360 days and actual days elapsed and shall be payable quarterly in arrears on each Payment Date following issuance of each Letter of Credit. The Borrowers shall also pay to the Issuing Lender for the Issuing Lender’s sole account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2.9.3 </w:t>
      </w:r>
      <w:r>
        <w:rPr>
          <w:rFonts w:ascii="Times New Roman" w:cs="Times New Roman" w:eastAsia="Times New Roman" w:hAnsi="Times New Roman"/>
          <w:sz w:val="18"/>
          <w:szCs w:val="18"/>
          <w:u w:val="single" w:color="auto"/>
          <w:color w:val="auto"/>
        </w:rPr>
        <w:t>Disbursements, Reimbursement.</w:t>
      </w:r>
      <w:r>
        <w:rPr>
          <w:rFonts w:ascii="Times New Roman" w:cs="Times New Roman" w:eastAsia="Times New Roman" w:hAnsi="Times New Roman"/>
          <w:sz w:val="18"/>
          <w:szCs w:val="18"/>
          <w:color w:val="auto"/>
        </w:rPr>
        <w:t xml:space="preserve"> Immediately upon the issuance of each Letter of Credit, each Lender shall be deemed to, and hereby irrevocably and unconditionally agrees to, purchase from the Issuing Lender a participation in such Letter of Credit and each drawing thereunder in an amount equal to such Lender’s Ratable Share of the maximum amount available to be drawn under such Letter of Credit and the amount of such drawing, respectively.</w:t>
      </w:r>
    </w:p>
    <w:p>
      <w:pPr>
        <w:spacing w:after="0" w:line="180"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2.9.3.1 In the event of any request for a drawing under a Letter of Credit by the beneficiary or transferee thereof, the Issuing Lender will promptly notify the Borrowers and the Administrative Agent thereof. Provided that it shall have received such notice, the Borrowers shall reimburse (such obligation to reimburse the Issuing Lender shall sometimes be referred to as a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the Issuing Lender prior to 12:00 noon on each date that an amount is paid by the Issuing Lender under any Letter of Credit (each such date, a “</w:t>
      </w:r>
      <w:r>
        <w:rPr>
          <w:rFonts w:ascii="Times New Roman" w:cs="Times New Roman" w:eastAsia="Times New Roman" w:hAnsi="Times New Roman"/>
          <w:sz w:val="18"/>
          <w:szCs w:val="18"/>
          <w:b w:val="1"/>
          <w:bCs w:val="1"/>
          <w:color w:val="auto"/>
        </w:rPr>
        <w:t>Drawing Date</w:t>
      </w:r>
      <w:r>
        <w:rPr>
          <w:rFonts w:ascii="Times New Roman" w:cs="Times New Roman" w:eastAsia="Times New Roman" w:hAnsi="Times New Roman"/>
          <w:sz w:val="18"/>
          <w:szCs w:val="18"/>
          <w:color w:val="auto"/>
        </w:rPr>
        <w:t>”) by paying to the Administrative Agent for the account of the Issuing Lender an amount equal to the amount so paid by the Issuing Lender. In the event the Borrowers fail to reimburse the Issuing Lender (through the Administrative Agent) for the full amount of any drawing under any Letter of Credit by 12:00 noon on the Drawing Date, the Administrative Agent will promptly notify each Lender thereof, and the Borrowers shall be deemed to have requested that Revolving Credit Loans be made by the Lenders under the Base Rate Option to be disbursed on the Drawing Date under such Letter of Credit, subject to the amount of the unutilized portion of the Revolving Credit Commitment and subject to the conditions set forth in Section 7.2 [Each Loan or Letter of Credit] other than any notice requirements. Any notice given by the Administrative Agent or Issuing Lender pursuant to this Section 2.9.3.1 may be oral if immediately confirmed in writing; provided that the lack of such an immediate confirmation shall not affect the conclusiveness or binding effect of such notice.</w:t>
      </w:r>
    </w:p>
    <w:p>
      <w:pPr>
        <w:spacing w:after="0" w:line="19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2.9.3.2 Each Lender shall upon any notice pursuant to Section 2.9.3.1 make available to the Administrative Agent for the account of the Issuing Lender an amount in immediately available funds equal to its Ratable Share of the amount of the drawing, whereupon the participating Lenders shall (subject to Section 2.9.3 [Disbursements; Reimbursement]) each be deemed to have (i) made a Revolving Credit Loan under the Base Rate Option to the Borrowers in that amount, or (ii) during the continuance of an Insolvency Proceeding or Relief Proceeding with respect to any Borrower, funded its Ratable Share of the Reimbursement Obligations arising by reason of such drawing. If any Lender so notified fails to make available to the Administrative Agent for the account of the Issuing Lender the amount of such Lender's Ratable Share of such amount by no later than 2:00 p.m. on the Drawing Date, then interest shall accrue on such Lender's obligation to make such payment, from the Drawing Date to the date on which such Lender makes such payment (i) at a rate per annum equal to the Effective Federal Funds Rate during the first three (3) days following the Drawing Date and (ii) at a rate per annum equal to the rate applicable to Revolving Credit Loans under the Base Rate Option on and after the fourth day following the Drawing Date. The Administrative Agent and the Issuing Lender will promptly give notice (as described in Section 2.9.3.1 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Section 2.9.3.2.</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2.9.3.3 With respect to any unreimbursed drawing that is not converted into Revolving Credit Loans under the Base Rate Option to the Borrowers in whole or in part as contemplated by Section 2.9.3.1, because of the Borrowers' failure to satisfy the conditions set forth in Section 7.2 [Each Loan or Letter of Credit] other than any notice requirements, or for any other reason, the Borrowers shall be deemed to have incurred from the Issuing Lender a borrowing (each a “</w:t>
      </w:r>
      <w:r>
        <w:rPr>
          <w:rFonts w:ascii="Times New Roman" w:cs="Times New Roman" w:eastAsia="Times New Roman" w:hAnsi="Times New Roman"/>
          <w:sz w:val="18"/>
          <w:szCs w:val="18"/>
          <w:b w:val="1"/>
          <w:bCs w:val="1"/>
          <w:color w:val="auto"/>
        </w:rPr>
        <w:t>Letter of Credit Borrowing</w:t>
      </w:r>
      <w:r>
        <w:rPr>
          <w:rFonts w:ascii="Times New Roman" w:cs="Times New Roman" w:eastAsia="Times New Roman" w:hAnsi="Times New Roman"/>
          <w:sz w:val="18"/>
          <w:szCs w:val="18"/>
          <w:color w:val="auto"/>
        </w:rPr>
        <w:t>”) in the amount of such drawing. Such Letter of Credit Borrowing shall be due and payable on demand (together with interest) and shall bear interest at the rate per annum applicable to the Revolving Credit Loans under the Base Rate Option. Each Lender's payment to the Administrative Agent for the account of the Issuing Lender pursuant to Section 2.9.3 [Disbursements, Reimbursement] shall be deemed to be a payment in respect of its participation in such Letter of Credit Borrowing (each a “</w:t>
      </w:r>
      <w:r>
        <w:rPr>
          <w:rFonts w:ascii="Times New Roman" w:cs="Times New Roman" w:eastAsia="Times New Roman" w:hAnsi="Times New Roman"/>
          <w:sz w:val="18"/>
          <w:szCs w:val="18"/>
          <w:b w:val="1"/>
          <w:bCs w:val="1"/>
          <w:color w:val="auto"/>
        </w:rPr>
        <w:t>Participation Advance</w:t>
      </w:r>
      <w:r>
        <w:rPr>
          <w:rFonts w:ascii="Times New Roman" w:cs="Times New Roman" w:eastAsia="Times New Roman" w:hAnsi="Times New Roman"/>
          <w:sz w:val="18"/>
          <w:szCs w:val="18"/>
          <w:color w:val="auto"/>
        </w:rPr>
        <w:t>”) from such Lender in satisfaction of its participation obligation under this Section 2.9.3.</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7"/>
          <w:szCs w:val="17"/>
          <w:u w:val="single" w:color="auto"/>
          <w:color w:val="auto"/>
        </w:rPr>
        <w:t>Repayment of Participation Advances.</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2.9.4.1 Upon (and only upon) receipt by the Administrative Agent for the account of the Issuing Lender of immediately available funds from the Borrowers (i) in reimbursement of any payment made by the Issuing Lender under the Letter of Credit with respect to which any Lender has made a Participation Advance to the Administrative Agent, or (ii)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spacing w:after="0" w:line="189"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2.9.4.2 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Section in reimbursement of a payment made under any Letter of Credit or interest or fees thereon, each Lender shall, on demand of the Administrative Agent, forthwith return to the Administrative Agent for the account of the Issuing Lender the amount of its Ratable Share of any amounts so returned by the Administrative Agent plus interest thereon from the date such demand is made to the date such amounts are returned by such Lender to the Administrative Agent, at a rate per annum equal to the Effective Federal Funds Rate in effect from time to time.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2.9.5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xml:space="preserve">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2.9.6 </w:t>
      </w:r>
      <w:r>
        <w:rPr>
          <w:rFonts w:ascii="Times New Roman" w:cs="Times New Roman" w:eastAsia="Times New Roman" w:hAnsi="Times New Roman"/>
          <w:sz w:val="18"/>
          <w:szCs w:val="18"/>
          <w:u w:val="single" w:color="auto"/>
          <w:color w:val="auto"/>
        </w:rPr>
        <w:t>Determinations to Honor Drawing Requests.</w:t>
      </w:r>
      <w:r>
        <w:rPr>
          <w:rFonts w:ascii="Times New Roman" w:cs="Times New Roman" w:eastAsia="Times New Roman" w:hAnsi="Times New Roman"/>
          <w:sz w:val="18"/>
          <w:szCs w:val="18"/>
          <w:color w:val="auto"/>
        </w:rPr>
        <w:t xml:space="preserve">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2.9.7 </w:t>
      </w:r>
      <w:r>
        <w:rPr>
          <w:rFonts w:ascii="Times New Roman" w:cs="Times New Roman" w:eastAsia="Times New Roman" w:hAnsi="Times New Roman"/>
          <w:sz w:val="18"/>
          <w:szCs w:val="18"/>
          <w:u w:val="single" w:color="auto"/>
          <w:color w:val="auto"/>
        </w:rPr>
        <w:t>Nature of Participation and Reimbursement Obligations.</w:t>
      </w:r>
      <w:r>
        <w:rPr>
          <w:rFonts w:ascii="Times New Roman" w:cs="Times New Roman" w:eastAsia="Times New Roman" w:hAnsi="Times New Roman"/>
          <w:sz w:val="18"/>
          <w:szCs w:val="18"/>
          <w:color w:val="auto"/>
        </w:rPr>
        <w:t xml:space="preserve"> Each Lender’s obligation in accordance with this Agreement to make the Revolving Credit Loans or Participation Advances, as contemplated by Section 2.9.3 [Disbursements, Reimbursement], as a result of a drawing under a Letter of Credit, and the Obligations of the Borrowers to reimburse the Issuing Lender upon a draw under a Letter of Credit, shall be absolute, unconditional and irrevocable, and shall be performed strictly in accordance with the terms of this Section 2.9 under all circumstances, including the following circumstances:</w:t>
      </w:r>
    </w:p>
    <w:p>
      <w:pPr>
        <w:spacing w:after="0" w:line="183" w:lineRule="exact"/>
        <w:rPr>
          <w:sz w:val="20"/>
          <w:szCs w:val="20"/>
          <w:color w:val="auto"/>
        </w:rPr>
      </w:pPr>
    </w:p>
    <w:p>
      <w:pPr>
        <w:jc w:val="both"/>
        <w:ind w:firstLine="1952"/>
        <w:spacing w:after="0" w:line="266" w:lineRule="auto"/>
        <w:tabs>
          <w:tab w:leader="none" w:pos="25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set-off, counterclaim, recoupment, defense or other right which such Lender may have against the Issuing Lender or any of its Affiliates, the Borrowers or any other Person for any reason whatsoever, or which any Loan Party may have against the Issuing Lender or any of its Affiliates, any Lender or any other Person for any reason whatsoever;</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Loan Party or any other Person to comply, in connection with a Letter of Credit Borrowing, with the conditions set forth in Sections 2.1 [Revolving Credit Commitments], 2.5 [Revolving Credit Loan Requests; Swing Loan Requests], 2.6 [Making Revolving Credit Loans and Swing Loans; Etc.] or 7.2 [Each Loan or Letter of Credit] or as otherwise set forth in this Agreement for the making of a Revolving Credit Loan, it being acknowledged that such conditions are not required for the making of a Letter of Credit Borrowing and the obligation of the Lenders to make Participation Advances under Section 2.9.3 [Disbursements, Reimbursement];</w:t>
      </w:r>
    </w:p>
    <w:p>
      <w:pPr>
        <w:spacing w:after="0" w:line="183"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Letter of Credit;</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of breach of warranty that might be made by any Loan Party or any Lender against any beneficiary of a Letter of Credit, or the existence of any claim, set-off, recoupment, counterclaim, crossclaim,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and the beneficiary for which any Letter of Credit was procured);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both"/>
        <w:ind w:firstLine="1952"/>
        <w:spacing w:after="0" w:line="261" w:lineRule="auto"/>
        <w:tabs>
          <w:tab w:leader="none" w:pos="25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the Issuing Lender or any of its Affiliates under any Letter of Credit against presentation of a demand, draft or certificate or other document which does not comply with the terms of such Letter of Credit;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Issuing Lender or any of its Affiliates to issue any Letter of Credit in the form requested by any Loan Party, unless the Issuing Lender has received written notice from such Loan Party of such failure within three Business Days after the Issuing Lender shall have furnished such Loan Party and the Administrative Agent a copy of such Letter of Credit and such error is material and no drawing has been made thereon prior to receipt of such notice;</w:t>
      </w:r>
    </w:p>
    <w:p>
      <w:pPr>
        <w:spacing w:after="0" w:line="179"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business, operations, properties, assets, condition (financial or otherwise) or prospects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Party;</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Agreement or any other Loan Document by any party thereto;</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continuance of an Insolvency Proceeding with respect to any Loan Party;</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an Event of Default or a Potential Default shall have occurred and be continuing;</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Expiration Date shall have passed or this Agreement or the Commitments hereunder shall have been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and</w:t>
      </w:r>
    </w:p>
    <w:p>
      <w:pPr>
        <w:spacing w:after="0" w:line="206"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2.9.8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The Borrowers hereby agree to protect, indemnify, pay and save harmless the Issuing Lender and any of its Affiliates that has issued a Letter of Credit from and against any and all claims, demands, liabilities, damages, taxes, penalties, interest, judgments, losses, costs, charges and expenses (including reasonable fees, expenses and disbursements of counsel and allocated costs of internal counsel) which the Issuing Lender or any of its Affiliates may incur or be subject to as a consequence, direct or indirect, of the issuance of any Letter of Credit, other than as a result of (a) the gross negligence or willful misconduct of the Issuing Lender as determined by a final non-appealable judgment of a court of competent jurisdiction or (b) the wrongful dishonor by Issuing Lender or any of its Affiliates of a proper demand for payment made under any Letter of Credit, except if such dishonor resulted from any act or omission, whether rightful or wrongful, of any present or future Official Body.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2.9.9 </w:t>
      </w:r>
      <w:r>
        <w:rPr>
          <w:rFonts w:ascii="Times New Roman" w:cs="Times New Roman" w:eastAsia="Times New Roman" w:hAnsi="Times New Roman"/>
          <w:sz w:val="18"/>
          <w:szCs w:val="18"/>
          <w:u w:val="single" w:color="auto"/>
          <w:color w:val="auto"/>
        </w:rPr>
        <w:t>Liability for Acts and Omissions.</w:t>
      </w:r>
      <w:r>
        <w:rPr>
          <w:rFonts w:ascii="Times New Roman" w:cs="Times New Roman" w:eastAsia="Times New Roman" w:hAnsi="Times New Roman"/>
          <w:sz w:val="18"/>
          <w:szCs w:val="18"/>
          <w:color w:val="auto"/>
        </w:rPr>
        <w:t xml:space="preserve"> 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w:t>
      </w:r>
    </w:p>
    <w:p>
      <w:pPr>
        <w:spacing w:after="0" w:line="1" w:lineRule="exact"/>
        <w:rPr>
          <w:sz w:val="20"/>
          <w:szCs w:val="20"/>
          <w:color w:val="auto"/>
        </w:rPr>
      </w:pPr>
    </w:p>
    <w:p>
      <w:pPr>
        <w:jc w:val="both"/>
        <w:ind w:firstLine="8"/>
        <w:spacing w:after="0" w:line="252" w:lineRule="auto"/>
        <w:tabs>
          <w:tab w:leader="none" w:pos="3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 (i) through (viii) of such sentence. Notwithstanding the foregoing, in no event shall the Issuing Lender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 omitted in good faith and without gross negligence (as determined by a court of competent jurisdiction in a final non-appealable judgment), shall not put the Issuing Lender or its Affiliates under any resulting liability to the Borrowers or any Lender.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2.9.10 </w:t>
      </w:r>
      <w:r>
        <w:rPr>
          <w:rFonts w:ascii="Times New Roman" w:cs="Times New Roman" w:eastAsia="Times New Roman" w:hAnsi="Times New Roman"/>
          <w:sz w:val="18"/>
          <w:szCs w:val="18"/>
          <w:u w:val="single" w:color="auto"/>
          <w:color w:val="auto"/>
        </w:rPr>
        <w:t>Issuing Lender Reporting Requirements.</w:t>
      </w:r>
      <w:r>
        <w:rPr>
          <w:rFonts w:ascii="Times New Roman" w:cs="Times New Roman" w:eastAsia="Times New Roman" w:hAnsi="Times New Roman"/>
          <w:sz w:val="18"/>
          <w:szCs w:val="18"/>
          <w:color w:val="auto"/>
        </w:rPr>
        <w:t xml:space="preserve"> Each Issuing Lender shall, on the first Business Day of each month, provide to Administrative Agent and Borrowers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Defaulting Lenders.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2.10.1</w:t>
      </w:r>
      <w:r>
        <w:rPr>
          <w:sz w:val="20"/>
          <w:szCs w:val="20"/>
          <w:color w:val="auto"/>
        </w:rPr>
        <w:tab/>
      </w:r>
      <w:r>
        <w:rPr>
          <w:rFonts w:ascii="Times New Roman" w:cs="Times New Roman" w:eastAsia="Times New Roman" w:hAnsi="Times New Roman"/>
          <w:sz w:val="18"/>
          <w:szCs w:val="18"/>
          <w:u w:val="single" w:color="auto"/>
          <w:color w:val="auto"/>
        </w:rPr>
        <w:t xml:space="preserve">Defaulting Lender Adjustments.  </w:t>
      </w:r>
      <w:r>
        <w:rPr>
          <w:rFonts w:ascii="Times New Roman" w:cs="Times New Roman" w:eastAsia="Times New Roman" w:hAnsi="Times New Roman"/>
          <w:sz w:val="18"/>
          <w:szCs w:val="18"/>
          <w:color w:val="auto"/>
        </w:rPr>
        <w:t>Notwithstanding any provision of this Agreement to the contrary, if any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then, until such time as such Lender is no longer a Defaulting Lender, to the extent permitted by applicable law:</w:t>
      </w:r>
    </w:p>
    <w:p>
      <w:pPr>
        <w:spacing w:after="0" w:line="207" w:lineRule="exact"/>
        <w:rPr>
          <w:sz w:val="20"/>
          <w:szCs w:val="20"/>
          <w:color w:val="auto"/>
        </w:rPr>
      </w:pPr>
    </w:p>
    <w:p>
      <w:pPr>
        <w:ind w:firstLine="1952"/>
        <w:spacing w:after="0" w:line="282" w:lineRule="auto"/>
        <w:tabs>
          <w:tab w:leader="none" w:pos="25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specified in the definition of Required Lenders.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both"/>
        <w:ind w:firstLine="1952"/>
        <w:spacing w:after="0" w:line="251" w:lineRule="auto"/>
        <w:tabs>
          <w:tab w:leader="none" w:pos="253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Section 9 [Default] or otherwise) or received by the Administrative Agent from a Defaulting Lender pursuant to Section 9.2.3 [Set-off]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Lender or Swing Loan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Cash Collateralize the Issuing Lender’s Fronting Exposure with respect to such Defaulting Lender in accordance with Section 5.12 [Cash Collateral];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Borrower may request (so long as no Potential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Borrowers, to be held in a deposit account and released pro rata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Section 5.12 [Cash Collateral];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payment of any amounts owing to the Lenders, the Issuing Lender or Swing Loan Lender as a result of any judgment of a court of competent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jurisdiction obtained by any Lender, the Issuing Lender or Swing Loan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Potential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Letter of Credit Borrowing in respect of which such Defaulting Lender has not fully funded its appropriate share, and (y) such Loans were made or the related Letters of Credit were issued at a time when the conditions specified in Section 7.2 [Each Loan or Letter of Credit] were satisfied or waived, such payment shall be applied solely to pay the Loans of, and Letter of Credit Borrowings owed to, all Non-Defaulting Lenders on a pro rata basis prior to being applied to the payment of any Loans of, or Letter of Credit Borrowing owed to, such Defaulting Lender until such time as all Loans and funded and unfunded participations in Letter of Credit Obligations and Swing Loans are held by the Lenders pro rata in accordance with the Commitments without giving effect to Section 2.10.1(iv) [Reallocation of Participations to Reduce Fronting Exposure]. Any payments, prepayments or other amounts paid or payable to a Defaulting Lender that are applied (or held) to pay amounts owed by a Defaulting Lender or to post Cash Collateral pursuant to this Section 2.10.1(ii) [Defaulting Lender Waterfall] shall be deemed paid to and redirected by such Defaulting Lender, and each Lender irrevocably consents hereto.</w:t>
      </w:r>
    </w:p>
    <w:p>
      <w:pPr>
        <w:spacing w:after="0" w:line="204"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6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Defaulting Lender shall be entitled to receive Letter of Credit Fees for any period during which that Lender is a Defaulting Lender only to the extent allocable to its Ratable Share of the stated amount of Letters of Credit for which it has provided Cash Collateral pursuant to Section 5.12 [Cash Collateral].</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both"/>
        <w:ind w:firstLine="2600"/>
        <w:spacing w:after="0" w:line="256" w:lineRule="auto"/>
        <w:tabs>
          <w:tab w:leader="none" w:pos="32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Commitment Fee or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 of Credit Obligations or Swing Loans that has been reallocated to such Non-Defaulting Lender pursuant to clause (iv) below, (y) pay to each Issuing Lender and Swing Loan Lender, as applicable, the amount of any such fee otherwise payable to such Defaulting Lender to the extent allocable to such Issuing Lender’s or Swing Loan Lender’s Fronting Exposure to such Defaulting Lender, and (z) not be required to pay the remaining amount of any such fee.</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4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Participations to Reduce Fronting Exposure</w:t>
      </w:r>
      <w:r>
        <w:rPr>
          <w:rFonts w:ascii="Times New Roman" w:cs="Times New Roman" w:eastAsia="Times New Roman" w:hAnsi="Times New Roman"/>
          <w:sz w:val="18"/>
          <w:szCs w:val="18"/>
          <w:color w:val="auto"/>
        </w:rPr>
        <w:t>. All or any part of such Defaulting Lender’s participation in Letter of Credit Obligations and Swing Loans shall be reallocated among the Non-Defaulting Lenders in accordance with their respective Ratable Shares (calculated without regard to such Defaulting Lender’s Commitment) but only to the extent that such reallocation does not cause the aggregate Revolving Facility Usage of any Non-Defaulting Lender to exceed such Non-Defaulting Lender’s Revolving Credit Commitment. Subject to Section 11.15 [Acknowledgement and Consent to Bail-In of Affected Financial Institutions],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 Loans</w:t>
      </w:r>
      <w:r>
        <w:rPr>
          <w:rFonts w:ascii="Times New Roman" w:cs="Times New Roman" w:eastAsia="Times New Roman" w:hAnsi="Times New Roman"/>
          <w:sz w:val="18"/>
          <w:szCs w:val="18"/>
          <w:color w:val="auto"/>
        </w:rPr>
        <w:t xml:space="preserve">. If the reallocation described in clause (iv) above cannot, or can only partially, be effected, the Borrower shall within one Business Day following notice by the Administrative Agent, without prejudice to any right or remedy available to it hereunder or under Law,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Swing Loans in an amount equal to the Swing Loan Lender’s Fronting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Cash Collateralize the Issuing Lender’s Fronting Exposure in accordance with the procedures specified in Section 5.12 [Cash Collateral].</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2.10.2 </w:t>
      </w: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If the Borrowers, the Administrative Agent and each Swing Loan Lender and Issuing Lender agree in writing that a Lender is no longer a Defaulting Lender, the Administrative Agent will so notify the parties hereto, whereupon as of the effective date specified in such notice and subject to any conditions specified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Loans to be held pro rata by the Lenders in accordance with the Commitments (without giving effect to Section 2.10.1(iv) [Reallocation of Participations to Reduce Fronting Exposure],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 xml:space="preserve">2.10.3 </w:t>
      </w:r>
      <w:r>
        <w:rPr>
          <w:rFonts w:ascii="Times New Roman" w:cs="Times New Roman" w:eastAsia="Times New Roman" w:hAnsi="Times New Roman"/>
          <w:sz w:val="18"/>
          <w:szCs w:val="18"/>
          <w:u w:val="single" w:color="auto"/>
          <w:color w:val="auto"/>
        </w:rPr>
        <w:t>New Swing Loans/Letters of Credit</w:t>
      </w:r>
      <w:r>
        <w:rPr>
          <w:rFonts w:ascii="Times New Roman" w:cs="Times New Roman" w:eastAsia="Times New Roman" w:hAnsi="Times New Roman"/>
          <w:sz w:val="18"/>
          <w:szCs w:val="18"/>
          <w:color w:val="auto"/>
        </w:rPr>
        <w:t>. So long as any Lender is a Defaulting Lender, (i) the Swing Loan Lender shall not be required to fund any Swing Loans unless it is satisfied that it will have no Fronting Exposure after giving effect to such Swing Loan, and (ii) no Issuing Lender shall be required to issue, extend, renew or increase any Letter of Credit unless it is satisfied that it will have no Fronting Exposure after giving effect thereto.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Increase in Commitments and Added Term Loans.</w:t>
      </w:r>
    </w:p>
    <w:p>
      <w:pPr>
        <w:spacing w:after="0" w:line="225" w:lineRule="exact"/>
        <w:rPr>
          <w:sz w:val="20"/>
          <w:szCs w:val="20"/>
          <w:color w:val="auto"/>
        </w:rPr>
      </w:pPr>
    </w:p>
    <w:p>
      <w:pPr>
        <w:jc w:val="both"/>
        <w:ind w:firstLine="1952"/>
        <w:spacing w:after="0" w:line="258" w:lineRule="auto"/>
        <w:tabs>
          <w:tab w:leader="none" w:pos="25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Increasing Lenders and New Lenders</w:t>
      </w:r>
      <w:r>
        <w:rPr>
          <w:rFonts w:ascii="Times New Roman" w:cs="Times New Roman" w:eastAsia="Times New Roman" w:hAnsi="Times New Roman"/>
          <w:sz w:val="18"/>
          <w:szCs w:val="18"/>
          <w:color w:val="auto"/>
        </w:rPr>
        <w:t>. The Borrowers may, at any time following the Closing Date, request that (1) the current Lenders increase their Revolving Credit Commitments, (2) one or more new lenders (each a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join this Agreement and provide a Revolving Credit Commitment hereunder, or (3) the current Lenders and/or one or more New Lenders join this Agreement and provide one or more tranches of term loans (the “</w:t>
      </w:r>
      <w:r>
        <w:rPr>
          <w:rFonts w:ascii="Times New Roman" w:cs="Times New Roman" w:eastAsia="Times New Roman" w:hAnsi="Times New Roman"/>
          <w:sz w:val="18"/>
          <w:szCs w:val="18"/>
          <w:b w:val="1"/>
          <w:bCs w:val="1"/>
          <w:color w:val="auto"/>
        </w:rPr>
        <w:t>Added Term Loans</w:t>
      </w:r>
      <w:r>
        <w:rPr>
          <w:rFonts w:ascii="Times New Roman" w:cs="Times New Roman" w:eastAsia="Times New Roman" w:hAnsi="Times New Roman"/>
          <w:sz w:val="18"/>
          <w:szCs w:val="18"/>
          <w:color w:val="auto"/>
        </w:rPr>
        <w:t>”), subject to the following terms and conditions (any current Lender which elects to increase its Revolving Credit Commitment or provide an Added Term Loan, as applicable, shall be referred to as an “</w:t>
      </w:r>
      <w:r>
        <w:rPr>
          <w:rFonts w:ascii="Times New Roman" w:cs="Times New Roman" w:eastAsia="Times New Roman" w:hAnsi="Times New Roman"/>
          <w:sz w:val="18"/>
          <w:szCs w:val="18"/>
          <w:b w:val="1"/>
          <w:bCs w:val="1"/>
          <w:color w:val="auto"/>
        </w:rPr>
        <w:t>Increasing Lender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Increase</w:t>
      </w:r>
      <w:r>
        <w:rPr>
          <w:rFonts w:ascii="Times New Roman" w:cs="Times New Roman" w:eastAsia="Times New Roman" w:hAnsi="Times New Roman"/>
          <w:sz w:val="18"/>
          <w:szCs w:val="18"/>
          <w:color w:val="auto"/>
        </w:rPr>
        <w:t>. No current Lender shall be obligated to (x) increase its Revolving Credit Commitment and any increase in the Revolving Credit Commitment by any current Lender shall be in the sole discretion of such current Lender, or (y) provide Added Term Loans and any Added Term Loans provided by any current Lender shall be in the sole discretion of such current Lender.</w:t>
      </w:r>
    </w:p>
    <w:p>
      <w:pPr>
        <w:spacing w:after="0" w:line="175" w:lineRule="exact"/>
        <w:rPr>
          <w:rFonts w:ascii="Times New Roman" w:cs="Times New Roman" w:eastAsia="Times New Roman" w:hAnsi="Times New Roman"/>
          <w:sz w:val="18"/>
          <w:szCs w:val="18"/>
          <w:color w:val="auto"/>
        </w:rPr>
      </w:pPr>
    </w:p>
    <w:p>
      <w:pPr>
        <w:ind w:left="3180" w:hanging="580"/>
        <w:spacing w:after="0"/>
        <w:tabs>
          <w:tab w:leader="none" w:pos="3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There shall exist no Events of Default or Potential Default on the effective date of such increase after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effect to such increase.</w:t>
      </w:r>
    </w:p>
    <w:p>
      <w:pPr>
        <w:spacing w:after="0" w:line="206" w:lineRule="exact"/>
        <w:rPr>
          <w:rFonts w:ascii="Times New Roman" w:cs="Times New Roman" w:eastAsia="Times New Roman" w:hAnsi="Times New Roman"/>
          <w:sz w:val="18"/>
          <w:szCs w:val="18"/>
          <w:color w:val="auto"/>
        </w:rPr>
      </w:pPr>
    </w:p>
    <w:p>
      <w:pPr>
        <w:jc w:val="both"/>
        <w:ind w:firstLine="2600"/>
        <w:spacing w:after="0" w:line="258" w:lineRule="auto"/>
        <w:tabs>
          <w:tab w:leader="none" w:pos="328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Amount of Increases and Aggregate Credit Commitments</w:t>
      </w:r>
      <w:r>
        <w:rPr>
          <w:rFonts w:ascii="Times New Roman" w:cs="Times New Roman" w:eastAsia="Times New Roman" w:hAnsi="Times New Roman"/>
          <w:sz w:val="18"/>
          <w:szCs w:val="18"/>
          <w:color w:val="auto"/>
        </w:rPr>
        <w:t>. The Borrowers may request separate increases of the Revolving Credit Commitments or incurrences of Added Term Loans issued pursuant to this Section (the “</w:t>
      </w:r>
      <w:r>
        <w:rPr>
          <w:rFonts w:ascii="Times New Roman" w:cs="Times New Roman" w:eastAsia="Times New Roman" w:hAnsi="Times New Roman"/>
          <w:sz w:val="18"/>
          <w:szCs w:val="18"/>
          <w:b w:val="1"/>
          <w:bCs w:val="1"/>
          <w:color w:val="auto"/>
        </w:rPr>
        <w:t>New Tranche of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so long as after giving effect to such increase or incurrences, the sum of the total aggregate increase to the Revolving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plus the total aggregate of New Tranche of Term Loan Commitments does not exceed $50,000,000, with the total aggregate of all Commitments hereunder (including New Tranche of Term Loan Commitments) not to exceed $100,000,000.</w:t>
      </w:r>
    </w:p>
    <w:p>
      <w:pPr>
        <w:spacing w:after="0" w:line="183"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Revolving Credit Commitments</w:t>
      </w:r>
      <w:r>
        <w:rPr>
          <w:rFonts w:ascii="Times New Roman" w:cs="Times New Roman" w:eastAsia="Times New Roman" w:hAnsi="Times New Roman"/>
          <w:sz w:val="18"/>
          <w:szCs w:val="18"/>
          <w:color w:val="auto"/>
        </w:rPr>
        <w:t>. After giving effect to such increase, the amount of the Revolving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Commitments provided by each of the New Lenders and each of the Increasing Lenders shall be at least $10,000,000.</w:t>
      </w:r>
    </w:p>
    <w:p>
      <w:pPr>
        <w:spacing w:after="0" w:line="206" w:lineRule="exact"/>
        <w:rPr>
          <w:rFonts w:ascii="Times New Roman" w:cs="Times New Roman" w:eastAsia="Times New Roman" w:hAnsi="Times New Roman"/>
          <w:sz w:val="18"/>
          <w:szCs w:val="18"/>
          <w:color w:val="auto"/>
        </w:rPr>
      </w:pPr>
    </w:p>
    <w:p>
      <w:pPr>
        <w:jc w:val="both"/>
        <w:ind w:firstLine="2600"/>
        <w:spacing w:after="0" w:line="258" w:lineRule="auto"/>
        <w:tabs>
          <w:tab w:leader="none" w:pos="322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Added Term Loans. (i) the Added Term Loans (x) shall rank pari passu in right of payment with the Revolving Credit Loans under this Agreement, (y) shall not mature earlier than the Expiration Date, and (z) shall have an amortization schedule and interest rates (including through fixed interest rates), interest margins, rate floors, upfront fees, funding discounts, original issue discounts and prepayment premiums as determined by the Borrowers, the Administrative Agent and the lenders providing the Added Term Loans; and (ii) each New Tranche of Term Loan Commitments shall be in the minimum amount of $10,000,000.00.</w:t>
      </w:r>
    </w:p>
    <w:p>
      <w:pPr>
        <w:spacing w:after="0" w:line="183" w:lineRule="exact"/>
        <w:rPr>
          <w:sz w:val="20"/>
          <w:szCs w:val="20"/>
          <w:color w:val="auto"/>
        </w:rPr>
      </w:pPr>
    </w:p>
    <w:p>
      <w:pPr>
        <w:ind w:left="2580" w:hanging="628"/>
        <w:spacing w:after="0"/>
        <w:tabs>
          <w:tab w:leader="none" w:pos="2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for Increase in Commitments and Added Term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both"/>
        <w:ind w:firstLine="2600"/>
        <w:spacing w:after="0" w:line="258" w:lineRule="auto"/>
        <w:tabs>
          <w:tab w:leader="none" w:pos="3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Resolutions; Opinion</w:t>
      </w:r>
      <w:r>
        <w:rPr>
          <w:rFonts w:ascii="Times New Roman" w:cs="Times New Roman" w:eastAsia="Times New Roman" w:hAnsi="Times New Roman"/>
          <w:sz w:val="18"/>
          <w:szCs w:val="18"/>
          <w:color w:val="auto"/>
        </w:rPr>
        <w:t>. The Loan Parties shall deliver to the Administrative Agent on or before the effective date of such increase the following documents in a form reasonably acceptable to the Administrative Agent: (1) certifications of their corporate secretaries with attached resolutions certifying that the increase in the Revolving Credit Commitment or incurrence of Added Term Loans has been approved by such Loan Parties, and (2) an opinion of counsel addressed to the Administrative Agent and the Lenders addressing the authorization and execution of the new Loan Documents by, and enforceability of the new Loan Documents against, the Loan Parties.</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32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Borrowers shall (if requested by a Lender) execute and deliver (1) to each Increasing Lender a replacement revolving credit Note or term note reflecting the new amount of such Increasing Lender's Revolving Credit Commitment or New Tranche of Term Loan Commitment, as applicable, after giving effect to the increase (and the prior Note issued to such Increasing Lender shall be deemed to be terminated) and (2) to each New Lender a revolving credit Note or term note reflecting the amount of such New Lender's Revolving Credit Commitment or New Tranche of Term Loan Commitment.</w:t>
      </w:r>
    </w:p>
    <w:p>
      <w:pPr>
        <w:spacing w:after="0" w:line="183" w:lineRule="exact"/>
        <w:rPr>
          <w:rFonts w:ascii="Times New Roman" w:cs="Times New Roman" w:eastAsia="Times New Roman" w:hAnsi="Times New Roman"/>
          <w:sz w:val="18"/>
          <w:szCs w:val="18"/>
          <w:color w:val="auto"/>
        </w:rPr>
      </w:pPr>
    </w:p>
    <w:p>
      <w:pPr>
        <w:ind w:firstLine="2600"/>
        <w:spacing w:after="0" w:line="282" w:lineRule="auto"/>
        <w:tabs>
          <w:tab w:leader="none" w:pos="31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New Lenders</w:t>
      </w:r>
      <w:r>
        <w:rPr>
          <w:rFonts w:ascii="Times New Roman" w:cs="Times New Roman" w:eastAsia="Times New Roman" w:hAnsi="Times New Roman"/>
          <w:sz w:val="18"/>
          <w:szCs w:val="18"/>
          <w:color w:val="auto"/>
        </w:rPr>
        <w:t>. Any New Lender shall be subject to the approval of the Administrative Agent, such approval not to be unreasonably withheld, conditioned or delayed.</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Increasing Lenders</w:t>
      </w:r>
      <w:r>
        <w:rPr>
          <w:rFonts w:ascii="Times New Roman" w:cs="Times New Roman" w:eastAsia="Times New Roman" w:hAnsi="Times New Roman"/>
          <w:sz w:val="18"/>
          <w:szCs w:val="18"/>
          <w:color w:val="auto"/>
        </w:rPr>
        <w:t>. Each Increasing Lender shall confirm its agreement to increase its Revolving Credit Commitment or provide a New Tranche of Term Loan Commitment pursuant to an acknowledgement in a form acceptable to the Administrative Agent, signed by it and the Borrowers and delivered to the Administrative Agent at least five (5) days before the effective date of such increase.</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Lenders--Joinder</w:t>
      </w:r>
      <w:r>
        <w:rPr>
          <w:rFonts w:ascii="Times New Roman" w:cs="Times New Roman" w:eastAsia="Times New Roman" w:hAnsi="Times New Roman"/>
          <w:sz w:val="18"/>
          <w:szCs w:val="18"/>
          <w:color w:val="auto"/>
        </w:rPr>
        <w:t xml:space="preserve">. Each New Lender shall execute a lender joinder in substantially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pursuant to which such New Lender shall join and become a party to this Agreement and the other Loan Documents with a Revolving Credit Commitment or New Tranche of Term Loan Commitment in the amount set forth in such lender joinder.</w:t>
      </w:r>
    </w:p>
    <w:p>
      <w:pPr>
        <w:spacing w:after="0" w:line="17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2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Added Term Loans shall be effected by an amendment to this Agreement setting forth the terms of the Added Term Loans executed by (x) the Administrative Agent, (y) each Lender or New Lender agreeing to provide any portion of such Added Term Loan, and (z) the Loan Parties, as reaffirmations of the Loan Documents executed by the Loan Parties, in each case in form and substance reasonably satisfactory to the Administrative Agent. Such amendment may, without the consent of any other Lenders, effect such amendments to this Agreement and the other Loan Documents as may be necessary or appropriate, in the reasonable opinion of the Administrative Agent and the Borrowers, to effect the provisions of this Section 2.11.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ind w:left="2580" w:hanging="628"/>
        <w:spacing w:after="0"/>
        <w:tabs>
          <w:tab w:leader="none" w:pos="25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Outstanding Loans and Letters of Credit.</w:t>
      </w:r>
    </w:p>
    <w:p>
      <w:pPr>
        <w:spacing w:after="0" w:line="22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16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Outstanding Loans; Borrowing of New Loans</w:t>
      </w:r>
      <w:r>
        <w:rPr>
          <w:rFonts w:ascii="Times New Roman" w:cs="Times New Roman" w:eastAsia="Times New Roman" w:hAnsi="Times New Roman"/>
          <w:sz w:val="18"/>
          <w:szCs w:val="18"/>
          <w:color w:val="auto"/>
        </w:rPr>
        <w:t xml:space="preserve">. On the on the effective date of such increase, the Borrowers shall repay all Loans then outstanding, subject to the Borrowers' indemnity obligations under Section 5.10 [Indemnity];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may borrow new Loans with a Borrowing Date on such date. Each of the Lenders shall participate in any new Loans made on or after such date in accordance with their respective Ratable Shares after giving effect to the increase in Revolving Credit Commitments contemplated by this Section 2.11.</w:t>
      </w:r>
    </w:p>
    <w:p>
      <w:pPr>
        <w:spacing w:after="0" w:line="179" w:lineRule="exact"/>
        <w:rPr>
          <w:rFonts w:ascii="Times New Roman" w:cs="Times New Roman" w:eastAsia="Times New Roman" w:hAnsi="Times New Roman"/>
          <w:sz w:val="18"/>
          <w:szCs w:val="18"/>
          <w:color w:val="auto"/>
        </w:rPr>
      </w:pPr>
    </w:p>
    <w:p>
      <w:pPr>
        <w:jc w:val="both"/>
        <w:ind w:firstLine="2600"/>
        <w:spacing w:after="0" w:line="258" w:lineRule="auto"/>
        <w:tabs>
          <w:tab w:leader="none" w:pos="33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Outstanding Letters of Credit. Repayment of Outstanding Loans; Borrowing of New Loans</w:t>
      </w:r>
      <w:r>
        <w:rPr>
          <w:rFonts w:ascii="Times New Roman" w:cs="Times New Roman" w:eastAsia="Times New Roman" w:hAnsi="Times New Roman"/>
          <w:sz w:val="18"/>
          <w:szCs w:val="18"/>
          <w:color w:val="auto"/>
        </w:rPr>
        <w:t>. On the effective date of such increase, each Increasing Lender and each New Lender (i) will be deemed to have purchased a participation in each then outstanding Letter of Credit equal to its Ratable Share of such Letter of Credit and the participation of each other Lender in such Letter of Credit shall be adjusted accordingly and (ii) will acquire, (and will pay to the Administrative Agent, for the account of each Lender, in immediately available funds, an amount equal to) its Ratable Share of all outstanding Participation Advances.</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Springing Borrowing Base.</w:t>
      </w:r>
      <w:r>
        <w:rPr>
          <w:rFonts w:ascii="Times New Roman" w:cs="Times New Roman" w:eastAsia="Times New Roman" w:hAnsi="Times New Roman"/>
          <w:sz w:val="18"/>
          <w:szCs w:val="18"/>
          <w:color w:val="auto"/>
        </w:rPr>
        <w:t xml:space="preserve"> Notwithstanding anything to the contrary set forth in this Section 2, commencing upon and during the continuance of a Springing Borrowing Base Trigger Event, the Revolving Facility Usage shall not exceed the Borrowing Base.</w:t>
      </w:r>
    </w:p>
    <w:p>
      <w:pPr>
        <w:spacing w:after="0" w:line="162" w:lineRule="exact"/>
        <w:rPr>
          <w:sz w:val="20"/>
          <w:szCs w:val="20"/>
          <w:color w:val="auto"/>
        </w:rPr>
      </w:pPr>
    </w:p>
    <w:p>
      <w:pPr>
        <w:ind w:left="5480" w:hanging="628"/>
        <w:spacing w:after="0"/>
        <w:tabs>
          <w:tab w:leader="none" w:pos="5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5200" w:hanging="591"/>
        <w:spacing w:after="0"/>
        <w:tabs>
          <w:tab w:leader="none" w:pos="5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Interest Rate Options.</w:t>
      </w:r>
      <w:r>
        <w:rPr>
          <w:rFonts w:ascii="Times New Roman" w:cs="Times New Roman" w:eastAsia="Times New Roman" w:hAnsi="Times New Roman"/>
          <w:sz w:val="18"/>
          <w:szCs w:val="18"/>
          <w:color w:val="auto"/>
        </w:rPr>
        <w:t xml:space="preserve"> The Borrowers shall pay interest in respect of the outstanding unpaid principal amount of the Loans as selected by it from the Base Rate Option or Term SOFR Rate Option set forth below applicable to the Loans, it being understood that, subject to the provisions of this Agreement, the Borrowers may select different Interest Rate Options and different Interest Periods to apply simultaneously to the Loans comprising different Borrowing Tranches and may convert to or renew one or more Interest Rate Options with respect to all or any portion of the Loans comprising any Borrowing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be at any one time outstanding more than eight (8) Borrowing Tranches in the aggregate among all of the Loans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an Event of Default or Potential Default exists and is continuing, the Borrowers may not request, convert to, or renew the Term SOFR Rate Option for any Loans and the Required Lenders may demand that all existing Borrowing Tranches bearing interest under the Term SOFR Rate Option shall be converted immediately to the Base Rate Option, subject to the obligation of the Borrowers to pay any indemnity under Section 5.10 [Indemnity] in connection with such conversion. If at any time the designated rate applicable to any Loan made by any Lender exceeds such Lender’s highest lawful rate, the rate of interest on such Lender’s Loan shall be limited to such Lender’s highest lawful rate.</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Revolving Credit Interest Rate Options; Swing Line Interest Rate.</w:t>
      </w:r>
      <w:r>
        <w:rPr>
          <w:rFonts w:ascii="Times New Roman" w:cs="Times New Roman" w:eastAsia="Times New Roman" w:hAnsi="Times New Roman"/>
          <w:sz w:val="18"/>
          <w:szCs w:val="18"/>
          <w:color w:val="auto"/>
        </w:rPr>
        <w:t xml:space="preserve"> The Borrowers shall have the right to select from the following Interest Rate Options applicable to the Revolving Credit Loans:</w:t>
      </w:r>
    </w:p>
    <w:p>
      <w:pPr>
        <w:spacing w:after="0" w:line="162" w:lineRule="exact"/>
        <w:rPr>
          <w:sz w:val="20"/>
          <w:szCs w:val="20"/>
          <w:color w:val="auto"/>
        </w:rPr>
      </w:pPr>
    </w:p>
    <w:p>
      <w:pPr>
        <w:jc w:val="both"/>
        <w:ind w:firstLine="1952"/>
        <w:spacing w:after="0" w:line="266" w:lineRule="auto"/>
        <w:tabs>
          <w:tab w:leader="none" w:pos="25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Base Rate Option</w:t>
      </w:r>
      <w:r>
        <w:rPr>
          <w:rFonts w:ascii="Times New Roman" w:cs="Times New Roman" w:eastAsia="Times New Roman" w:hAnsi="Times New Roman"/>
          <w:sz w:val="18"/>
          <w:szCs w:val="18"/>
          <w:color w:val="auto"/>
        </w:rPr>
        <w:t>: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 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ind w:firstLine="1952"/>
        <w:spacing w:after="0" w:line="282" w:lineRule="auto"/>
        <w:tabs>
          <w:tab w:leader="none" w:pos="26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Term SOFR Rate Option</w:t>
      </w:r>
      <w:r>
        <w:rPr>
          <w:rFonts w:ascii="Times New Roman" w:cs="Times New Roman" w:eastAsia="Times New Roman" w:hAnsi="Times New Roman"/>
          <w:sz w:val="18"/>
          <w:szCs w:val="18"/>
          <w:color w:val="auto"/>
        </w:rPr>
        <w:t>: A rate per annum (computed on the basis of a year of 360 days and actual days elapsed) equal to the Term SOFR Rate as determined for each applicable Interest Period plus the Applicable Margin.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Section 4.3 [Interest After Default] and except for Swing Loans made in accordance with the provisions of Cash Management Agreements, only the Base Rate Option applicable to Revolving Credit Loans shall apply to the Swing Loans.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Rate Quotations.</w:t>
      </w:r>
      <w:r>
        <w:rPr>
          <w:rFonts w:ascii="Times New Roman" w:cs="Times New Roman" w:eastAsia="Times New Roman" w:hAnsi="Times New Roman"/>
          <w:sz w:val="18"/>
          <w:szCs w:val="18"/>
          <w:color w:val="auto"/>
        </w:rPr>
        <w:t xml:space="preserve"> The Borrowers may contact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Interest Periods.</w:t>
      </w:r>
      <w:r>
        <w:rPr>
          <w:rFonts w:ascii="Times New Roman" w:cs="Times New Roman" w:eastAsia="Times New Roman" w:hAnsi="Times New Roman"/>
          <w:sz w:val="18"/>
          <w:szCs w:val="18"/>
          <w:color w:val="auto"/>
        </w:rPr>
        <w:t xml:space="preserve"> At any time when the Borrowers shall select, convert to or renew a Term SOFR Rate Option, the Borrowers shall notify the Administrative Agent thereof at least three (3) Business Days prior to the effective date of such Term SOFR Rate Option by delivering a Loan Request. The notice shall specify an Interest Period during which such Interest Rate Option shall apply. Notwithstanding the preceding sentence, the following provisions shall apply to any selection of, renewal of, or conversion to a Term SOFR Rate Option: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Amount of Borrowing Tranche.</w:t>
      </w:r>
      <w:r>
        <w:rPr>
          <w:rFonts w:ascii="Times New Roman" w:cs="Times New Roman" w:eastAsia="Times New Roman" w:hAnsi="Times New Roman"/>
          <w:sz w:val="18"/>
          <w:szCs w:val="18"/>
          <w:color w:val="auto"/>
        </w:rPr>
        <w:t xml:space="preserve"> Each Borrowing Tranche of Loans under the Term SOFR Rate Option shall be in integral multiples of, and not less than, the respective amounts set forth in Section 2.5.1 [Revolving Credit Loan Requests];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Renewals.</w:t>
      </w:r>
      <w:r>
        <w:rPr>
          <w:rFonts w:ascii="Times New Roman" w:cs="Times New Roman" w:eastAsia="Times New Roman" w:hAnsi="Times New Roman"/>
          <w:sz w:val="18"/>
          <w:szCs w:val="18"/>
          <w:color w:val="auto"/>
        </w:rPr>
        <w:t xml:space="preserve"> In the case of the renewal of a Term SOFR Rate Option at the end of an Interest Period, the first day of the new Interest Period shall be the last day of the preceding Interest Period, without duplication in payment of interest for such day.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Interest After Default.</w:t>
      </w:r>
      <w:r>
        <w:rPr>
          <w:rFonts w:ascii="Times New Roman" w:cs="Times New Roman" w:eastAsia="Times New Roman" w:hAnsi="Times New Roman"/>
          <w:sz w:val="18"/>
          <w:szCs w:val="18"/>
          <w:color w:val="auto"/>
        </w:rPr>
        <w:t xml:space="preserve"> To the extent permitted by Law, upon the occurrence of an Event of Default and until such time such Event of Default shall have been cured or waived, at the discretion of the Administrative Agent or upon written demand by the Required Lenders to the Administrative Agent: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Letter of Credit Fees, Interest Rate.</w:t>
      </w:r>
      <w:r>
        <w:rPr>
          <w:rFonts w:ascii="Times New Roman" w:cs="Times New Roman" w:eastAsia="Times New Roman" w:hAnsi="Times New Roman"/>
          <w:sz w:val="18"/>
          <w:szCs w:val="18"/>
          <w:color w:val="auto"/>
        </w:rPr>
        <w:t xml:space="preserve"> The Letter of Credit Fees and the rate of interest for each Loan otherwise applicable pursuant to Section 2.9.2 [Letter of Credit Fees] or Section 4.1 [Interest Rate Options], respectively, shall be increased by 2.0% per annum;</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Other Obligations.</w:t>
      </w:r>
      <w:r>
        <w:rPr>
          <w:rFonts w:ascii="Times New Roman" w:cs="Times New Roman" w:eastAsia="Times New Roman" w:hAnsi="Times New Roman"/>
          <w:sz w:val="18"/>
          <w:szCs w:val="18"/>
          <w:color w:val="auto"/>
        </w:rPr>
        <w:t xml:space="preserve"> Each other Obligation hereunder if not paid when due shall bear interest at a rate per annum equal to the sum of the rate of interest applicable to Revolving Credit Loans under the Base Rate Option plus an additional 2.0% per annum from the time such Obligation becomes due and payable and until it is Paid In Full;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xml:space="preserve"> The Borrowers acknowledge that the increase in rates referred to in this Section 4.3 reflects, among other things, the fact that such Loans or other amounts have become a substantially greater risk given their default status and that the Lenders are entitled to additional compensation for such risk; and all such interest shall be payable by Borrowers upon demand by Administrative Agent.</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Rate Unascertainable; Increased Costs; Illegality; Benchmark Replacement Setting.</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u w:val="single" w:color="auto"/>
          <w:color w:val="auto"/>
        </w:rPr>
        <w:t xml:space="preserve">Unascertainable; Increased Costs. </w:t>
      </w:r>
      <w:r>
        <w:rPr>
          <w:rFonts w:ascii="Times New Roman" w:cs="Times New Roman" w:eastAsia="Times New Roman" w:hAnsi="Times New Roman"/>
          <w:sz w:val="18"/>
          <w:szCs w:val="18"/>
          <w:color w:val="auto"/>
        </w:rPr>
        <w:t>If, at any time:</w:t>
      </w:r>
    </w:p>
    <w:p>
      <w:pPr>
        <w:spacing w:after="0" w:line="225" w:lineRule="exact"/>
        <w:rPr>
          <w:sz w:val="20"/>
          <w:szCs w:val="20"/>
          <w:color w:val="auto"/>
        </w:rPr>
      </w:pPr>
    </w:p>
    <w:p>
      <w:pPr>
        <w:ind w:firstLine="1952"/>
        <w:spacing w:after="0" w:line="282" w:lineRule="auto"/>
        <w:tabs>
          <w:tab w:leader="none" w:pos="2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determined (which determination shall be conclusive and binding absent manifest error) that the Term SOFR Rate cannot be determined pursuant to the definition thereof; or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determines that for any reason in connection with any request for a Term SOFR Rate Loan or a conversion thereto or a continuation thereof that the Term SOFR Rate for any requested Interest Period with respect to a proposed Term SOFR Rate Loan does not adequately and fairly reflect the cost to such Lender of funding, establishing or maintaining such Loan during the applicable Interest Period, and such Lender has provided notice of such determination to the Administrative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Administrative Agent shall have the rights specified in Section 4.4.3 [Administrative Agent’s and Lender’s Rights].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at any time any Lender shall have determined, or any Official Body shall have asserted, that the making, maintenance or funding of any Term SOFR Rate Loan, or the determination or charging of interest rates based on the Term SOFR Rate, has been made impracticable or unlawful by compliance by such Lender in good faith with any Law or any interpretation or application thereof by any Official Body or with any request or directive of any such Official Body (whether or not having the force of Law), then the Administrative Agent shall have the rights specified in Section 4.4.3 [Administrative Agent’s and Lender’s Rights].</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u w:val="single" w:color="auto"/>
          <w:color w:val="auto"/>
        </w:rPr>
        <w:t>Administrative Agent's and Lender's Rights.</w:t>
      </w:r>
      <w:r>
        <w:rPr>
          <w:rFonts w:ascii="Times New Roman" w:cs="Times New Roman" w:eastAsia="Times New Roman" w:hAnsi="Times New Roman"/>
          <w:sz w:val="18"/>
          <w:szCs w:val="18"/>
          <w:color w:val="auto"/>
        </w:rPr>
        <w:t xml:space="preserve"> In the case of any event specified in Section 4.4.1 [Unascertainable; Increased Costs] above, the Administrative Agent shall promptly so notify the Lenders and the Borrowers thereof, and in the case of an event specified in Section 4.4.2 [Illegality] above, such Lender shall promptly so notify the Administrative Agent and endorse a certificate to such notice as to the specific circumstances of such notice, and the Administrative Agent shall promptly send copies of such notice and certificate to the other Lenders and the Borrowers. Upon such date as shall be specified in such notice (which shall not be earlier than the date such notice is given), the obligation of (A) the Lenders, in the case of such notice given by the Administrative Agent, or (B) such Lender, in the case of such notice given by such Lender, to allow the Borrowers to select, convert to, renew or continue a Term SOFR Rate Loan shall be suspended (to the extent of the affected Term SOFR rate Loan or Interest Periods) until the Administrative Agent shall have later notified the Borrowers, or such Lender shall have later notified the Administrative Agent, of the Administrative Agent’s or such Lender’s, as the case may be, determination that the circumstances giving rise to such previous determination no longer exist. Upon a determination by Administrative Agent under Section 4.4.1 [Unascertainable; Increased Costs], (i) if the Borrowers have previously notified the Administrative Agent of its selection of, conversion to or renewal of a Term SOFR Rate Option and the Term SOFR Rate Option has not yet gone into effect, such notification shall be deemed to provide for selection of, conversion to or renewal of a Base Rate Loan, and (ii) any outstanding affected Term SOFR Rate Loans will be deemed to have been converted into Base Rate Loans at the end of the applicable Interest Period. If any Lender notifies the Administrative Agent of a determination under Section 4.4.2 [Illegality], the Borrowers shall, subject to the Borrowers’ indemnification Obligations under Section 5.10 [Indemnity], as to any Loan of the Lender to which a Terms SOFR Rate Option applies, on the date specified in such notice either convert such Loan to a Base Rate Loan or prepay such Loan in accordance with Section 5.6 [Voluntary Prepayments]. Absent due notice from the Borrowers of conversion or prepayment, such Loan shall automatically be converted to a Base Rate Loan upon such specified date.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4.4.4</w:t>
      </w:r>
      <w:r>
        <w:rPr>
          <w:sz w:val="20"/>
          <w:szCs w:val="20"/>
          <w:color w:val="auto"/>
        </w:rPr>
        <w:tab/>
      </w:r>
      <w:r>
        <w:rPr>
          <w:rFonts w:ascii="Times New Roman" w:cs="Times New Roman" w:eastAsia="Times New Roman" w:hAnsi="Times New Roman"/>
          <w:sz w:val="17"/>
          <w:szCs w:val="17"/>
          <w:u w:val="single" w:color="auto"/>
          <w:color w:val="auto"/>
        </w:rPr>
        <w:t>Benchmark Replacement Setting.</w:t>
      </w:r>
    </w:p>
    <w:p>
      <w:pPr>
        <w:spacing w:after="0" w:line="225" w:lineRule="exact"/>
        <w:rPr>
          <w:sz w:val="20"/>
          <w:szCs w:val="20"/>
          <w:color w:val="auto"/>
        </w:rPr>
      </w:pPr>
    </w:p>
    <w:p>
      <w:pPr>
        <w:jc w:val="both"/>
        <w:ind w:firstLine="1952"/>
        <w:spacing w:after="0" w:line="253" w:lineRule="auto"/>
        <w:tabs>
          <w:tab w:leader="none" w:pos="2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(and any agreement executed in connection with an Interest Rate Hedge shall be deemed not to be a “Loan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Eastern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both"/>
        <w:ind w:firstLine="1952"/>
        <w:spacing w:after="0" w:line="254" w:lineRule="auto"/>
        <w:tabs>
          <w:tab w:leader="none" w:pos="268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Borrowers and the Lenders of (A) the implementation of any Benchmark Replacement, and (B) the effectiveness of any Conforming Changes in connection with the use, administration, adoption or implementation of a Benchmark Replacement. The Administrative Agent will notify the Borrowers of (x) the removal or reinstatement of any tenor of a Benchmark pursuant to paragraph (iv)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188" w:lineRule="exact"/>
        <w:rPr>
          <w:rFonts w:ascii="Times New Roman" w:cs="Times New Roman" w:eastAsia="Times New Roman" w:hAnsi="Times New Roman"/>
          <w:sz w:val="18"/>
          <w:szCs w:val="18"/>
          <w:color w:val="auto"/>
        </w:rPr>
      </w:pPr>
    </w:p>
    <w:p>
      <w:pPr>
        <w:jc w:val="both"/>
        <w:ind w:firstLine="1952"/>
        <w:spacing w:after="0" w:line="270" w:lineRule="auto"/>
        <w:tabs>
          <w:tab w:leader="none" w:pos="256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Unavailability of Tenor of Benchmark</w:t>
      </w:r>
      <w:r>
        <w:rPr>
          <w:rFonts w:ascii="Times New Roman" w:cs="Times New Roman" w:eastAsia="Times New Roman" w:hAnsi="Times New Roman"/>
          <w:sz w:val="17"/>
          <w:szCs w:val="17"/>
          <w:color w:val="auto"/>
        </w:rPr>
        <w:t>.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76" w:lineRule="exact"/>
        <w:rPr>
          <w:rFonts w:ascii="Times New Roman" w:cs="Times New Roman" w:eastAsia="Times New Roman" w:hAnsi="Times New Roman"/>
          <w:sz w:val="17"/>
          <w:szCs w:val="17"/>
          <w:color w:val="auto"/>
        </w:rPr>
      </w:pPr>
    </w:p>
    <w:p>
      <w:pPr>
        <w:jc w:val="both"/>
        <w:ind w:firstLine="1952"/>
        <w:spacing w:after="0" w:line="255" w:lineRule="auto"/>
        <w:tabs>
          <w:tab w:leader="none" w:pos="273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with respect to a given Benchmark, the Borrowers may revoke any pending request for a Loan bearing interest based on or with reference to such Benchmark or conversion to or continuation of Loans bearing interest based on or with reference to such Benchmark to be made, converted or continued during any Benchmark Unavailability Period and, failing that, the Borrowers will be deemed to have converted any such request into a request for a Base Rate Loan or conversion to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8"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Section:</w:t>
      </w:r>
    </w:p>
    <w:p>
      <w:pPr>
        <w:spacing w:after="0" w:line="221" w:lineRule="exact"/>
        <w:rPr>
          <w:sz w:val="20"/>
          <w:szCs w:val="20"/>
          <w:color w:val="auto"/>
        </w:rPr>
      </w:pPr>
    </w:p>
    <w:p>
      <w:pPr>
        <w:jc w:val="both"/>
        <w:ind w:left="13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both"/>
        <w:ind w:lef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SOFR and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w:t>
      </w:r>
    </w:p>
    <w:p>
      <w:pPr>
        <w:spacing w:after="0" w:line="171" w:lineRule="exact"/>
        <w:rPr>
          <w:sz w:val="20"/>
          <w:szCs w:val="20"/>
          <w:color w:val="auto"/>
        </w:rPr>
      </w:pPr>
    </w:p>
    <w:p>
      <w:pPr>
        <w:jc w:val="both"/>
        <w:ind w:left="180"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Administrative Agent for the applicable Benchmark Replacement Date:</w:t>
      </w:r>
    </w:p>
    <w:p>
      <w:pPr>
        <w:spacing w:after="0" w:line="159" w:lineRule="exact"/>
        <w:rPr>
          <w:sz w:val="20"/>
          <w:szCs w:val="20"/>
          <w:color w:val="auto"/>
        </w:rPr>
      </w:pPr>
    </w:p>
    <w:p>
      <w:pPr>
        <w:ind w:left="2140" w:hanging="660"/>
        <w:spacing w:after="0"/>
        <w:tabs>
          <w:tab w:leader="none" w:pos="2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Simple SOFR;</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55" w:lineRule="auto"/>
        <w:tabs>
          <w:tab w:leader="none" w:pos="23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giving due consideration to (x) any selection or recommendation of a replacement benchmark rate or the mechanism for determining such rate by the Relevant Governmental Body or (y) any evolving or then-prevailing market convention for determining a benchmark rate as a replacement to the then-current Benchmark for U.S. dollar-denominated syndicated credit facilities at such time and</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5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the foregoing would be less than the Floor, the Benchmark Replacement will be deemed to be the Floor for the purposes of this Agreement and the other Loan Documents;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Benchmark Replacement shall be administratively feasible as determined by the Administrative Agent in its sole discretion.</w:t>
      </w:r>
    </w:p>
    <w:p>
      <w:pPr>
        <w:spacing w:after="0" w:line="185"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33" w:name="page134"/>
    <w:bookmarkEnd w:id="133"/>
    <w:p>
      <w:pPr>
        <w:ind w:left="180"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a date and time determined by the Administrative Agent, which date shall be no later than the earliest to occur of the following events with respect to the then-current Benchmark:</w:t>
      </w:r>
    </w:p>
    <w:p>
      <w:pPr>
        <w:spacing w:after="0" w:line="159" w:lineRule="exact"/>
        <w:rPr>
          <w:sz w:val="20"/>
          <w:szCs w:val="20"/>
          <w:color w:val="auto"/>
        </w:rPr>
      </w:pPr>
    </w:p>
    <w:p>
      <w:pPr>
        <w:jc w:val="both"/>
        <w:ind w:left="180" w:firstLine="1300"/>
        <w:spacing w:after="0" w:line="258" w:lineRule="auto"/>
        <w:tabs>
          <w:tab w:leader="none" w:pos="17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83" w:lineRule="exact"/>
        <w:rPr>
          <w:rFonts w:ascii="Times New Roman" w:cs="Times New Roman" w:eastAsia="Times New Roman" w:hAnsi="Times New Roman"/>
          <w:sz w:val="18"/>
          <w:szCs w:val="18"/>
          <w:color w:val="auto"/>
        </w:rPr>
      </w:pPr>
    </w:p>
    <w:p>
      <w:pPr>
        <w:jc w:val="both"/>
        <w:ind w:left="180" w:firstLine="1300"/>
        <w:spacing w:after="0" w:line="282" w:lineRule="auto"/>
        <w:tabs>
          <w:tab w:leader="none" w:pos="18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determined by the Administrative Agent, which date shall promptly follow the date of the public statement or publication of information referenced therein.</w:t>
      </w:r>
    </w:p>
    <w:p>
      <w:pPr>
        <w:spacing w:after="0" w:line="162"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Benchmark:</w:t>
      </w:r>
    </w:p>
    <w:p>
      <w:pPr>
        <w:spacing w:after="0" w:line="207" w:lineRule="exact"/>
        <w:rPr>
          <w:sz w:val="20"/>
          <w:szCs w:val="20"/>
          <w:color w:val="auto"/>
        </w:rPr>
      </w:pPr>
    </w:p>
    <w:p>
      <w:pPr>
        <w:jc w:val="both"/>
        <w:ind w:left="180" w:firstLine="1300"/>
        <w:spacing w:after="0" w:line="258" w:lineRule="auto"/>
        <w:tabs>
          <w:tab w:leader="none" w:pos="18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3" w:lineRule="exact"/>
        <w:rPr>
          <w:rFonts w:ascii="Times New Roman" w:cs="Times New Roman" w:eastAsia="Times New Roman" w:hAnsi="Times New Roman"/>
          <w:sz w:val="18"/>
          <w:szCs w:val="18"/>
          <w:color w:val="auto"/>
        </w:rPr>
      </w:pPr>
    </w:p>
    <w:p>
      <w:pPr>
        <w:jc w:val="both"/>
        <w:ind w:left="180" w:firstLine="1300"/>
        <w:spacing w:after="0" w:line="253" w:lineRule="auto"/>
        <w:tabs>
          <w:tab w:leader="none" w:pos="18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an Official Body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36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34" w:name="page135"/>
    <w:bookmarkEnd w:id="134"/>
    <w:p>
      <w:pPr>
        <w:jc w:val="both"/>
        <w:ind w:left="180" w:firstLine="1300"/>
        <w:spacing w:after="0" w:line="261" w:lineRule="auto"/>
        <w:tabs>
          <w:tab w:leader="none" w:pos="186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or an Official Body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spacing w:after="0" w:line="180"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left="1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the period (if any) (x) beginning at the time that a Benchmark Replacement Date has occurred if, at such time, no Benchmark Replacement has replaced the then-current Benchmark for all purposes hereunder and under any Loan Document in accordance with this Section titled “Benchmark Replacement Setting” and (y) ending at the time that a Benchmark Replacement has replaced the then-current Benchmark for all purposes hereunder and under any Loan Document in accordance with this Section titled “Benchmark Replacement Setting.”</w:t>
      </w:r>
    </w:p>
    <w:p>
      <w:pPr>
        <w:spacing w:after="0" w:line="179" w:lineRule="exact"/>
        <w:rPr>
          <w:sz w:val="20"/>
          <w:szCs w:val="20"/>
          <w:color w:val="auto"/>
        </w:rPr>
      </w:pPr>
    </w:p>
    <w:p>
      <w:pPr>
        <w:jc w:val="both"/>
        <w:ind w:left="180"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Term SOFR Rate or, if no floor is specified, zero.</w:t>
      </w:r>
    </w:p>
    <w:p>
      <w:pPr>
        <w:spacing w:after="0" w:line="171" w:lineRule="exact"/>
        <w:rPr>
          <w:sz w:val="20"/>
          <w:szCs w:val="20"/>
          <w:color w:val="auto"/>
        </w:rPr>
      </w:pPr>
    </w:p>
    <w:p>
      <w:pPr>
        <w:jc w:val="both"/>
        <w:ind w:lef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71" w:lineRule="exact"/>
        <w:rPr>
          <w:sz w:val="20"/>
          <w:szCs w:val="20"/>
          <w:color w:val="auto"/>
        </w:rPr>
      </w:pPr>
    </w:p>
    <w:p>
      <w:pPr>
        <w:jc w:val="both"/>
        <w:ind w:lef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33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35" w:name="page136"/>
    <w:bookmarkEnd w:id="13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Selection of Interest Rate Options.</w:t>
      </w:r>
      <w:r>
        <w:rPr>
          <w:rFonts w:ascii="Times New Roman" w:cs="Times New Roman" w:eastAsia="Times New Roman" w:hAnsi="Times New Roman"/>
          <w:sz w:val="18"/>
          <w:szCs w:val="18"/>
          <w:color w:val="auto"/>
        </w:rPr>
        <w:t xml:space="preserve"> If the Borrowers fail to select a new Interest Period to apply to any Borrowing Tranche of Loans under the Term SOFR Rate Option at the expiration of an existing Interest Period applicable to such Borrowing Tranche in accordance with the provisions of Section 4.2 [Interest Periods], the Borrowers shall be deemed to have converted such Borrowing Tranche to the Base Rate Option applicable to Revolving Credit Loans, commencing upon the last day of the existing Interest Period. If the Borrowers provide any Loan Request related to a Loan at the Term SOFR Rate Option but fail to identify an Interest Period therefor, such Loan Request shall be deemed to request an Interest Period of one (1) Month. Any Loan Request that fails to select an Interest Rate Option shall be deemed to be a request for the Base Rate Option.</w:t>
      </w:r>
    </w:p>
    <w:p>
      <w:pPr>
        <w:spacing w:after="0" w:line="187" w:lineRule="exact"/>
        <w:rPr>
          <w:sz w:val="20"/>
          <w:szCs w:val="20"/>
          <w:color w:val="auto"/>
        </w:rPr>
      </w:pPr>
    </w:p>
    <w:p>
      <w:pPr>
        <w:ind w:left="5440" w:hanging="577"/>
        <w:spacing w:after="0"/>
        <w:tabs>
          <w:tab w:leader="none" w:pos="5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payments and prepayments to be made in respect of principal, interest, Commitment Fees, Letter of Credit Fees, Administrative Agent's Fee or other fees or amounts due from the Borrowers hereunder shall be payable prior to 12:00 noon on the date when due without presentment, demand, protest or notice of any kind, all of which are hereby expressly waived by the Borrowers, and without set-off, counterclaim or other deduction of any nature, and an action therefor shall immediately accrue. Such payments shall be made to the Administrative Agent at the Principal Office for the account of the Swing Loan Lender with respect to the Swing Loans and for the ratable accounts of the Lenders with respect to the Revolving Credit Loans in U.S. Dollars and in immediately available funds, and the Administrative Agent shall promptly distribute such amounts to the Lenders in immediately available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payments are received by 12:00 noon by the Administrative Agent with respect to the Loans and such payments are not distributed to the Lenders on the same day received by the Administrative Agent, the Administrative Agent shall pay the Lenders interest at the Effective Federal Funds Rate with respect to the amount of such payments for each day held by the Administrative Agent and not distributed to the Lenders. The Administrative Agent’s statement of account, ledger or other relevant record shall, in the absence of manifest error, be conclusive as the statement of the amount of principal of and interest on the Loans and other amounts owing under this Agreement.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 Rata Treatment of Lenders.</w:t>
      </w:r>
      <w:r>
        <w:rPr>
          <w:rFonts w:ascii="Times New Roman" w:cs="Times New Roman" w:eastAsia="Times New Roman" w:hAnsi="Times New Roman"/>
          <w:sz w:val="18"/>
          <w:szCs w:val="18"/>
          <w:color w:val="auto"/>
        </w:rPr>
        <w:t xml:space="preserve"> Each borrowing of Revolving Credit Loans shall be allocated to each Lender according to its Ratable Share, and each selection of, conversion to or renewal of any Interest Rate Option and each payment or prepayment by the Borrowers with respect to principal, interest, Commitment Fees and Letter of Credit Fees (but excluding the Administrative Agent’s Fee and the Issuing Lender’s fronting fee) shall (except as otherwise may be provided with respect to a Defaulting Lender and except as provided in Sections 4.4.3 [Administrative Agent’s and Lender’s Rights] in the case of an event specified in Section 4.4 [Rate Unascertainable; Etc.], 5.13 [Replacement of a Lender] or 5.8 [Increased Costs]) be payable ratably among the Lenders entitled to such payment in accordance with the amount of principal, interest, Commitment Fees and Letter of Credit Fees, as set forth in this Agreement. Notwithstanding any of the foregoing, each borrowing or payment or prepayment by the Borrowers of principal, interest, fees or other amounts from the Borrowers with respect to Swing Loans shall be made by or to the Swing Loan Lender according to Section 2.6.5 [Borrowings to Repay Swing Loans].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xml:space="preserve"> If any Lender shall, by exercising any right of setoff, counterclaim or banker’s lien or any other right,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92" w:lineRule="exact"/>
        <w:rPr>
          <w:sz w:val="20"/>
          <w:szCs w:val="20"/>
          <w:color w:val="auto"/>
        </w:rPr>
      </w:pPr>
    </w:p>
    <w:p>
      <w:pPr>
        <w:jc w:val="both"/>
        <w:ind w:firstLine="1952"/>
        <w:spacing w:after="0" w:line="266" w:lineRule="auto"/>
        <w:tabs>
          <w:tab w:leader="none" w:pos="257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5.3 shall not be construed to apply to (x) any payment made by the Loan Parties pursuant to and in accordance with the express terms of the Loan Documents (including the application of funds arising from the existence of a Defaulting Lender) or (y) any payment obtained by a Lender as consideration for the assignment of or sale of a participation in any of its Loans or Participation Advances to any assignee or participant. 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u w:val="single" w:color="auto"/>
          <w:color w:val="auto"/>
        </w:rPr>
        <w:t>Administrative Agent’s Clawback.</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5.4.1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Unless the Administrative Agent shall have received notice from a Lender (x) in the case of Loans to which the Base Rate Option applies, prior to 12:00 noon Eastern Time on the proposed Borrowing Date of such Borrowing Tranche of Loans and (y) otherwise, prior to the proposed date of any Borrowing Tranche of Loans that such Lender will not make available to the Administrative Agent such Lender’s Ratable Share, the Administrative Agent may assume that such Lender has made such share available on such date in accordance with Section 2.5.1 [Making Revolving Credit Loans] and may, in reliance upon such assumption, make available to the Borrower a corresponding amount. In such event, if a Lender has not in fact made its share of the applicable Borrowing Tranche of Loans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a payment to be made by such Lender, the greater of the Effective Federal Funds Rate and a rate determined by the Administrative Agent in accordance with banking industry rules on interbank compensation, and (ii) in the case of a payment to be made by the Borrowers, the interest rate applicable to Loans under the Base Rate Option. If the Borrowers and such Lender shall pay such interest to the Administrative Agent for the same or an overlapping period, the Administrative Agent shall promptly remit to the Borrowers the amount of such interest paid by the Borrower for such period. If such Lender pays its share of the applicable Borrowing Tranche of Loans to the Administrative Agent, then the amount so paid shall constitute such Lender’s Loan included in such Borrowing Tranche of Loans. Any payment by the Borrowers shall be without prejudice to any claim the Borrowers may have against a Lender that shall have failed to make such payment to the Administrative Agent.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5.4.2 </w:t>
      </w:r>
      <w:r>
        <w:rPr>
          <w:rFonts w:ascii="Times New Roman" w:cs="Times New Roman" w:eastAsia="Times New Roman" w:hAnsi="Times New Roman"/>
          <w:sz w:val="18"/>
          <w:szCs w:val="18"/>
          <w:u w:val="single" w:color="auto"/>
          <w:color w:val="auto"/>
        </w:rPr>
        <w:t>Payments by Borrowers; Presumptions by Administrative Agent</w:t>
      </w:r>
      <w:r>
        <w:rPr>
          <w:rFonts w:ascii="Times New Roman" w:cs="Times New Roman" w:eastAsia="Times New Roman" w:hAnsi="Times New Roman"/>
          <w:sz w:val="18"/>
          <w:szCs w:val="18"/>
          <w:color w:val="auto"/>
        </w:rPr>
        <w:t>. Unless the Administrative Agent shall have received notice from the Borrowers prior to the date on which any payment is due to the Administrative Agent for the account of the Lenders or the Issuing Lender hereunder that the Borrowers will not make such payment, the Administrative Agent may assume that the Borrowers have made such payment on such date in accordance herewith and may, in reliance upon such assumption, distribute to the Lenders or the Issuing Lender, as the case may be, the amount due. In such event, if the Borrowers have not in fact made such payment, then each of the Lenders or the Issuing Lender, as the case may be, severally agrees to repay to the Administrative Agent forthwith on demand the amount so distributed to such Lender or the Issuing Lender, with interest thereon, for each day from and including the date such amount is distributed to it to but excluding the date of payment to the Administrative Agent, at the greater of the Effective Federal Funds Rate and a rate determined by the Administrative Agent in accordance with banking industry rules on interbank compensation.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Interest Payment Dates.</w:t>
      </w:r>
      <w:r>
        <w:rPr>
          <w:rFonts w:ascii="Times New Roman" w:cs="Times New Roman" w:eastAsia="Times New Roman" w:hAnsi="Times New Roman"/>
          <w:sz w:val="18"/>
          <w:szCs w:val="18"/>
          <w:color w:val="auto"/>
        </w:rPr>
        <w:t xml:space="preserve"> Interest on Loans to which the Base Rate Option applies shall be due and payable in arrears on each Payment Date. Interest on Loans to which the Term SOFR Rate Option applies shall be due and payable on the last day of each Interest Period and, if such Interest Period is longer than three (3) Months, also at the end of each three Month period during such Interest Period. Interest on the principal amount of each Loan or other monetary Obligation shall be due and payable on demand after such principal amount or other monetary Obligation becomes due and payable (whether on the stated Expiration Date, upon acceleration or otherwise). Interest shall be computed to, but excluding, the date payment is due.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 xml:space="preserve"> The Borrowers shall have the right at their option from time to time to prepay the Loans in whole or part without premium or penalty (except as provided in Section 5.13 [Replacement of a Lender] below, in Section 5.8 [Increased Costs] and Section 5.10 [Indemnity]). Subject to the provisions of any Cash Management Agreement, whenever the Borrowers desire to prepay any part of the Loans, it shall provide a prepayment notice to the Administrative Agent by 1:00 p.m. at least one (1) Business Day prior to the date of prepayment of the Revolving Credit Loans that bear interest at the Base Rate Option and at least three (3) Business Days prior to the date of prepayment of the Revolving Credit Loans that bear interest at the Term SOFR Rate Option, or no later than 1:00 p.m. on the date of prepayment of Swing Loans, setting forth the following information: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ind w:left="2620" w:hanging="668"/>
        <w:spacing w:after="0"/>
        <w:tabs>
          <w:tab w:leader="none" w:pos="2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shall be a Business Day, on which the proposed prepayment is to be made;</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indicating the application of the prepayment between the Revolving Credit Loans and Swing Loans;</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7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indicating the application of the prepayment between Loans to which the Base Rate Option applies and Loans to which the Term SOFR Rate Option applies;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such prepayment, which shall not be less than the lesser of (i) the Revolving Facility Usage or (ii) $100,000 for any Swing Loan or $1,000,000 for any Revolving Credit Loan.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All prepayment notices shall be irrevocable. The principal amount of the Loans for which a prepayment notice is given, together with interest on such principal amount, except with respect to Loans to which the Base Rate Option applies, shall be due and payable on the date specified in such prepayment notice as the date on which the proposed prepayment is to be made. Except as provided in Section 4.4.3 [Administrative Agent’s and Lender’s Rights], if the Borrowers prepay a Loan but fails to specify the applicable Borrowing Tranche which the Borrowers is prepaying, the prepayment shall be applied first to Loans to which the Base Rate Option applies, then to Loans to which the Term SOFR Rate Option applies. Any prepayment hereunder shall be subject to the Borrowers' Obligation to indemnify the Lenders under Section 5.10 [Indemnity].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xml:space="preserve"> Upon the occurrence and during the continuance of a Springing Borrowing Base Trigger Event, whenever the outstanding principal balance of Revolving Credit Loans by the Lenders plus the aggregate undrawn face amount of outstanding Letters of Credit issued pursuant to Section 2.9 [Letter of Credit Subfacility] exceed the Borrowing Base, the Borrowers shall make, within one (1) Business Day after the Borrowers learn of such excess and whether or not the Administrative Agent has given notice to such effect, a mandatory prepayment of principal equal to the excess of the outstanding principal balance of the Revolving Credit Loans over the Borrowing Base, together with accrued interest on such principal amount.</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Increased Costs.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5.8.1</w:t>
      </w:r>
      <w:r>
        <w:rPr>
          <w:sz w:val="20"/>
          <w:szCs w:val="20"/>
          <w:color w:val="auto"/>
        </w:rPr>
        <w:tab/>
      </w:r>
      <w:r>
        <w:rPr>
          <w:rFonts w:ascii="Times New Roman" w:cs="Times New Roman" w:eastAsia="Times New Roman" w:hAnsi="Times New Roman"/>
          <w:sz w:val="18"/>
          <w:szCs w:val="18"/>
          <w:u w:val="single" w:color="auto"/>
          <w:color w:val="auto"/>
        </w:rPr>
        <w:t xml:space="preserve">Increased Costs Generally. </w:t>
      </w:r>
      <w:r>
        <w:rPr>
          <w:rFonts w:ascii="Times New Roman" w:cs="Times New Roman" w:eastAsia="Times New Roman" w:hAnsi="Times New Roman"/>
          <w:sz w:val="18"/>
          <w:szCs w:val="18"/>
          <w:color w:val="auto"/>
        </w:rPr>
        <w:t>If any Change in Law shall:</w:t>
      </w:r>
    </w:p>
    <w:p>
      <w:pPr>
        <w:spacing w:after="0" w:line="225" w:lineRule="exact"/>
        <w:rPr>
          <w:sz w:val="20"/>
          <w:szCs w:val="20"/>
          <w:color w:val="auto"/>
        </w:rPr>
      </w:pPr>
    </w:p>
    <w:p>
      <w:pPr>
        <w:ind w:firstLine="1952"/>
        <w:spacing w:after="0" w:line="282" w:lineRule="auto"/>
        <w:tabs>
          <w:tab w:leader="none" w:pos="28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or the Issuing Lender;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(ii) through (iv) of the definition of Excluded Taxes and (C) Connection Income Taxes) on its loans, loan principal, letters of credit, commitments, or other obligations, or its deposits, reserves, other liabilities or capital attributable thereto; or</w:t>
      </w:r>
    </w:p>
    <w:p>
      <w:pPr>
        <w:spacing w:after="0" w:line="34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both"/>
        <w:ind w:firstLine="1952"/>
        <w:spacing w:after="0" w:line="253" w:lineRule="auto"/>
        <w:tabs>
          <w:tab w:leader="none" w:pos="25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Issuing Lender or the relevant market any other condition, cost or expense (other than Taxes) affecting this Agreement or Loans made by such Lender or any Letter of Credit or participation therein; 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the Issuing Lender or other Recipient hereunder (whether of principal, interest or any other amount) then, upon request of such Lender, the Issuing Lender or other Recipient, the Borrowers will pay to such Lender, the Issuing Lender or other Recipient, as the case may be, such additional amount or amounts as will compensate such Lender or the Issuing Lender or other Recipient, as the case may be, for such additional costs incurred or reduction suffered; provided that upon the occurrence of any Change in Law imposing a reserve percentage on any interest rate based on SOFR, the Administrative Agent, in its reasonable discretion, may modify the calculation of each such SOFR-based interest rate to add (or otherwise account for) such reserve percentage.</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5.8.2 </w:t>
      </w: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xml:space="preserve"> 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Borrowers will pay to such Lender or the Issuing Lender, as the case may be, such additional amount or amounts as will compensate such Lender or the Issuing Lender or such Lender’s or the Issuing Lender’s holding company for any such reduction suffered.</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5.8.3 </w:t>
      </w:r>
      <w:r>
        <w:rPr>
          <w:rFonts w:ascii="Times New Roman" w:cs="Times New Roman" w:eastAsia="Times New Roman" w:hAnsi="Times New Roman"/>
          <w:sz w:val="18"/>
          <w:szCs w:val="18"/>
          <w:u w:val="single" w:color="auto"/>
          <w:color w:val="auto"/>
        </w:rPr>
        <w:t>Certificates for Reimbursement; Repayment of Outstanding Loans; Borrowing of New Loans.</w:t>
      </w:r>
      <w:r>
        <w:rPr>
          <w:rFonts w:ascii="Times New Roman" w:cs="Times New Roman" w:eastAsia="Times New Roman" w:hAnsi="Times New Roman"/>
          <w:sz w:val="18"/>
          <w:szCs w:val="18"/>
          <w:color w:val="auto"/>
        </w:rPr>
        <w:t xml:space="preserve"> A certificate of a Lender or the Issuing Lender setting forth in reasonable detail the amount or amounts necessary to compensate such Lender or the Issuing Lender or its holding company, as the case may be, as specified in Sections 5.8.1 [Increased Costs Generally] or 5.8.2 [Capital Requirements] and delivered to the Borrowers shall be conclusive absent manifest error. The Borrowers shall pay such Lender or the Issuing Lender, as the case may be, the amount shown as due on any such certificate within ten (10) days after receipt thereof.</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5.8.4 </w:t>
      </w: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the Issuing Lender to demand compensation pursuant to this Section shall not constitute a waiver of such Lender’s or the Issuing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required to compensate a Lender or the Issuing Lender pursuant to this Section for any increased costs incurred or reductions suffered more than six months prior to the date that such Lender or the Issuing Lender, as the case may be, notifies the Borrowers of the Change in Law giving rise to such increased costs or reductions and of such Lender's or the Issuing Lender's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18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u w:val="single" w:color="auto"/>
          <w:color w:val="auto"/>
        </w:rPr>
        <w:t>Taxes.</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5.9.1</w:t>
      </w:r>
      <w:r>
        <w:rPr>
          <w:sz w:val="20"/>
          <w:szCs w:val="20"/>
          <w:color w:val="auto"/>
        </w:rPr>
        <w:tab/>
      </w:r>
      <w:r>
        <w:rPr>
          <w:rFonts w:ascii="Times New Roman" w:cs="Times New Roman" w:eastAsia="Times New Roman" w:hAnsi="Times New Roman"/>
          <w:sz w:val="18"/>
          <w:szCs w:val="18"/>
          <w:u w:val="single" w:color="auto"/>
          <w:color w:val="auto"/>
        </w:rPr>
        <w:t xml:space="preserve">Issuing Lender. </w:t>
      </w:r>
      <w:r>
        <w:rPr>
          <w:rFonts w:ascii="Times New Roman" w:cs="Times New Roman" w:eastAsia="Times New Roman" w:hAnsi="Times New Roman"/>
          <w:sz w:val="18"/>
          <w:szCs w:val="18"/>
          <w:color w:val="auto"/>
        </w:rPr>
        <w:t>For purposes of this Section 5.9, the term “Lender” includes the Issuing Lender and the term “applicable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FATCA.</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5.9.2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any Loan Party under any Loan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5.9 [Taxes]) the applicable Recipient receives an amount equal to the sum it would have received had no such deduction or withholding been made.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5.9.3 </w:t>
      </w: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xml:space="preserve"> The Loan Parties shall timely pay to the relevant Official Body in accordance with applicable Law, or at the option of the Administrative Agent timely reimburse it for the payment of, any Other Taxes.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5.9.4 </w:t>
      </w: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Section 5.9 [Taxes])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setting forth in reasonable detail the amount of such payment or liability delivered to the Borrowers by a Lender (with a copy to the Administrative Agent), or by the Administrative Agent on its own behalf or on behalf of a Lender, shall be conclusive absent manifest error.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5.9.5 </w:t>
      </w: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Section 11.8.4 [Participations]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setting forth in reasonable detail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5.9.5 [Indemnification by the Lenders].</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5.9.6 </w:t>
      </w: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any Loan Party to an Official Body pursuant to this Section 5.9 [Taxes],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5.9.7</w:t>
      </w:r>
      <w:r>
        <w:rPr>
          <w:sz w:val="20"/>
          <w:szCs w:val="20"/>
          <w:color w:val="auto"/>
        </w:rPr>
        <w:tab/>
      </w:r>
      <w:r>
        <w:rPr>
          <w:rFonts w:ascii="Times New Roman" w:cs="Times New Roman" w:eastAsia="Times New Roman" w:hAnsi="Times New Roman"/>
          <w:sz w:val="17"/>
          <w:szCs w:val="17"/>
          <w:u w:val="single" w:color="auto"/>
          <w:color w:val="auto"/>
        </w:rPr>
        <w:t>Status of Lenders.</w:t>
      </w:r>
    </w:p>
    <w:p>
      <w:pPr>
        <w:spacing w:after="0" w:line="225" w:lineRule="exact"/>
        <w:rPr>
          <w:sz w:val="20"/>
          <w:szCs w:val="20"/>
          <w:color w:val="auto"/>
        </w:rPr>
      </w:pPr>
    </w:p>
    <w:p>
      <w:pPr>
        <w:jc w:val="both"/>
        <w:ind w:left="60" w:firstLine="2135"/>
        <w:spacing w:after="0" w:line="253" w:lineRule="auto"/>
        <w:tabs>
          <w:tab w:leader="none" w:pos="290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5.9.7(ii)(A),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18"/>
          <w:szCs w:val="18"/>
          <w:color w:val="auto"/>
        </w:rPr>
      </w:pPr>
    </w:p>
    <w:p>
      <w:pPr>
        <w:ind w:left="2860" w:hanging="665"/>
        <w:spacing w:after="0"/>
        <w:tabs>
          <w:tab w:leader="none" w:pos="28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any Borrower is a U.S. Borrower,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Borrowers and the Administrative Agent on or prior to the date on which such Lender becomes a Lender under this Agreement (and from time to time thereafter upon the reasonable request of the Borrowers or the Administrative Agent), executed originals of IRS Form W-9 certifying that such Lender is exempt from U.S. federal backup withholding tax;</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both"/>
        <w:ind w:firstLine="2600"/>
        <w:spacing w:after="0" w:line="261" w:lineRule="auto"/>
        <w:tabs>
          <w:tab w:leader="none" w:pos="35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1300" w:firstLine="1948"/>
        <w:spacing w:after="0" w:line="256" w:lineRule="auto"/>
        <w:tabs>
          <w:tab w:leader="none" w:pos="400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W-8BEN-E (or W-8BEN if applicable) establishing an exemption from, or reduction of, U.S. federal withholding Tax pursuant to the "interest" article of such tax treaty and (y) with respect to any other applicable payments under any Loan Document, IRS Form W-8BEN-E (or W-8BEN if applicable)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3920" w:hanging="672"/>
        <w:spacing w:after="0"/>
        <w:tabs>
          <w:tab w:leader="none" w:pos="39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IRS Form W-8ECI;</w:t>
      </w:r>
    </w:p>
    <w:p>
      <w:pPr>
        <w:spacing w:after="0" w:line="225" w:lineRule="exact"/>
        <w:rPr>
          <w:rFonts w:ascii="Times New Roman" w:cs="Times New Roman" w:eastAsia="Times New Roman" w:hAnsi="Times New Roman"/>
          <w:sz w:val="18"/>
          <w:szCs w:val="18"/>
          <w:color w:val="auto"/>
        </w:rPr>
      </w:pPr>
    </w:p>
    <w:p>
      <w:pPr>
        <w:jc w:val="both"/>
        <w:ind w:left="1300" w:firstLine="1948"/>
        <w:spacing w:after="0" w:line="258" w:lineRule="auto"/>
        <w:tabs>
          <w:tab w:leader="none" w:pos="406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5.9.7(A)</w:t>
      </w:r>
      <w:r>
        <w:rPr>
          <w:rFonts w:ascii="Times New Roman" w:cs="Times New Roman" w:eastAsia="Times New Roman" w:hAnsi="Times New Roman"/>
          <w:sz w:val="18"/>
          <w:szCs w:val="18"/>
          <w:color w:val="auto"/>
        </w:rPr>
        <w:t xml:space="preserve"> to the effect that such Foreign Lender is not (A) a “bank” within the meaning of Section 881(c)(3)(A) of the Code, (B) a “10 percent shareholder” of the Borrowers within the meaning of Section 881(c)(3)(B) of the Code, or (C) a “controlled foreign corporation” described in Section 881(c)(3)(C) of the Code (a “</w:t>
      </w:r>
      <w:r>
        <w:rPr>
          <w:rFonts w:ascii="Times New Roman" w:cs="Times New Roman" w:eastAsia="Times New Roman" w:hAnsi="Times New Roman"/>
          <w:sz w:val="18"/>
          <w:szCs w:val="18"/>
          <w:b w:val="1"/>
          <w:bCs w:val="1"/>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and (y) executed originals of IRS Form W-8BEN-E (or W-8BEN if applicable); or</w:t>
      </w:r>
    </w:p>
    <w:p>
      <w:pPr>
        <w:spacing w:after="0" w:line="183" w:lineRule="exact"/>
        <w:rPr>
          <w:rFonts w:ascii="Times New Roman" w:cs="Times New Roman" w:eastAsia="Times New Roman" w:hAnsi="Times New Roman"/>
          <w:sz w:val="18"/>
          <w:szCs w:val="18"/>
          <w:color w:val="auto"/>
        </w:rPr>
      </w:pPr>
    </w:p>
    <w:p>
      <w:pPr>
        <w:jc w:val="both"/>
        <w:ind w:left="1300" w:firstLine="1948"/>
        <w:spacing w:after="0" w:line="256" w:lineRule="auto"/>
        <w:tabs>
          <w:tab w:leader="none" w:pos="3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originals of IRS Form W-8IMY, accompanied by IRS Form W-8ECI, IRS Form W-8BEN-E (or W-8BEN if applicable), a U.S. Tax Compliance Certificate substantially in the form of </w:t>
      </w:r>
      <w:r>
        <w:rPr>
          <w:rFonts w:ascii="Times New Roman" w:cs="Times New Roman" w:eastAsia="Times New Roman" w:hAnsi="Times New Roman"/>
          <w:sz w:val="18"/>
          <w:szCs w:val="18"/>
          <w:u w:val="single" w:color="auto"/>
          <w:color w:val="auto"/>
        </w:rPr>
        <w:t>Exhibit 5.9.7(B)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5.9.7(C)</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5.9.7(D)</w:t>
      </w:r>
      <w:r>
        <w:rPr>
          <w:rFonts w:ascii="Times New Roman" w:cs="Times New Roman" w:eastAsia="Times New Roman" w:hAnsi="Times New Roman"/>
          <w:sz w:val="18"/>
          <w:szCs w:val="18"/>
          <w:color w:val="auto"/>
        </w:rPr>
        <w:t xml:space="preserve"> on behalf of each such direct and indirect partner;</w:t>
      </w:r>
    </w:p>
    <w:p>
      <w:pPr>
        <w:spacing w:after="0" w:line="187" w:lineRule="exact"/>
        <w:rPr>
          <w:rFonts w:ascii="Times New Roman" w:cs="Times New Roman" w:eastAsia="Times New Roman" w:hAnsi="Times New Roman"/>
          <w:sz w:val="18"/>
          <w:szCs w:val="18"/>
          <w:color w:val="auto"/>
        </w:rPr>
      </w:pPr>
    </w:p>
    <w:p>
      <w:pPr>
        <w:jc w:val="both"/>
        <w:ind w:firstLine="2600"/>
        <w:spacing w:after="0" w:line="256" w:lineRule="auto"/>
        <w:tabs>
          <w:tab w:leader="none" w:pos="35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both"/>
        <w:ind w:firstLine="2600"/>
        <w:spacing w:after="0" w:line="254" w:lineRule="auto"/>
        <w:tabs>
          <w:tab w:leader="none" w:pos="33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5.9.8 </w:t>
      </w: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Section 5.9 [Taxes] (including by the payment of additional amounts pursuant to this Section 5.9 [Taxes]), it shall pay to the indemnifying party an amount equal to such refund (but only to the extent of indemnity payments made under this Section 5.9 [Taxes]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incurred in connection with obtaining such refund, shall repay to such indemnified party the amount paid over pursuant to this Section 5.9.8 [Treatment of Certain Refunds] (plus any penalties, interest or other charges imposed by the relevant Official Body) in the event that such indemnified party is required to repay such refund to such Official Body. Notwithstanding anything to the contrary in this Section 5.9.8 [Treatment of Certain Refunds]), in no event will the indemnified party be required to pay any amount to an indemnifying party pursuant to this Section 5.9.8 [Treatment of Certain Refunds]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5.9.9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Section 5.9 [Taxes] shall survive the resignation of the Administrative Agent or any assignment of rights by, or the replacement of, a Lender, the termination of the Commitments and the repayment, satisfaction or discharge of all Obligations.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In addition to the compensation or payments required by Section 5.8 [Increased Costs] or Section 5.9 [Taxes], the Borrowers shall indemnify each Lender against all liabilities, losses or expenses (including loss of anticipated profits, any foreign exchange losses and any loss or expense arising from the liquidation or reemployment of funds obtained by it to maintain any Loan, from fees payable to terminate the deposits from which such funds were obtained or from the performance of any foreign exchange contract) which such Lender sustains or incurs as a consequence of any:</w:t>
      </w:r>
    </w:p>
    <w:p>
      <w:pPr>
        <w:spacing w:after="0" w:line="180" w:lineRule="exact"/>
        <w:rPr>
          <w:sz w:val="20"/>
          <w:szCs w:val="20"/>
          <w:color w:val="auto"/>
        </w:rPr>
      </w:pPr>
    </w:p>
    <w:p>
      <w:pPr>
        <w:jc w:val="both"/>
        <w:ind w:firstLine="1952"/>
        <w:spacing w:after="0" w:line="266" w:lineRule="auto"/>
        <w:tabs>
          <w:tab w:leader="none" w:pos="26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prepayment, conversion or renewal of any Loan to which a Term SOFR Rate Option applies on a day other than the last day of the corresponding Interest Period (whether or not any such payment or prepayment is mandatory, voluntary or automatic and whether or not any such payment or prepayment is then due), or</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by the Borrowers to revoke (expressly, by later inconsistent notices or otherwise) in whole or part any Loan Requests under Section 2.5 [Revolving Credit Loan Requests; Swing Loan Requests] or Section 4.2 [Interest Periods] or notice relating to prepayments under Section 5.6 [Voluntary Prepayments] or failure by the Borrowers (for a reason other than the failure of such Lender to make a Loan) to prepay, borrower, continue or convert any Loan, other than a Loan under the Base Rate Option, on the date or in the amount notified by the Borrowers; or</w:t>
      </w:r>
    </w:p>
    <w:p>
      <w:pPr>
        <w:spacing w:after="0" w:line="179" w:lineRule="exact"/>
        <w:rPr>
          <w:rFonts w:ascii="Times New Roman" w:cs="Times New Roman" w:eastAsia="Times New Roman" w:hAnsi="Times New Roman"/>
          <w:sz w:val="18"/>
          <w:szCs w:val="18"/>
          <w:color w:val="auto"/>
        </w:rPr>
      </w:pPr>
    </w:p>
    <w:p>
      <w:pPr>
        <w:ind w:right="360" w:firstLine="1952"/>
        <w:spacing w:after="0" w:line="282" w:lineRule="auto"/>
        <w:tabs>
          <w:tab w:leader="none" w:pos="26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of a Loan under the Term SOFR Rate Option on a day other than the last day of the Interest Period therefor as a result of a request by the Borrower pursuant to Section 5.13 [Replacement of a Lender].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any Lender sustains or incurs any such loss or expense, it shall from time to time notify the Borrowers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set forth in reasonable detail the basis for such determination. Such amount shall be due and payable by the Borrowers to such Lender ten (10) Business Days after such notice is given.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Settlement Date Procedures.</w:t>
      </w:r>
      <w:r>
        <w:rPr>
          <w:rFonts w:ascii="Times New Roman" w:cs="Times New Roman" w:eastAsia="Times New Roman" w:hAnsi="Times New Roman"/>
          <w:sz w:val="18"/>
          <w:szCs w:val="18"/>
          <w:color w:val="auto"/>
        </w:rPr>
        <w:t xml:space="preserve"> In order to minimize the transfer of funds between the Lenders and the Administrative Agent, the Borrowers may borrow, repay and reborrow Swing Loans and the Swing Loan Lender may make Swing Loans as provided in Section 2.1.2 [Swing Loan Commitments] hereof during the period between Settlement Dates. The Administrative Agent shall notify each Lender of its Ratable Share of the total of the Revolving Credit Loans and the Swing Loans (each a “</w:t>
      </w:r>
      <w:r>
        <w:rPr>
          <w:rFonts w:ascii="Times New Roman" w:cs="Times New Roman" w:eastAsia="Times New Roman" w:hAnsi="Times New Roman"/>
          <w:sz w:val="18"/>
          <w:szCs w:val="18"/>
          <w:b w:val="1"/>
          <w:bCs w:val="1"/>
          <w:color w:val="auto"/>
        </w:rPr>
        <w:t>Required Share</w:t>
      </w:r>
      <w:r>
        <w:rPr>
          <w:rFonts w:ascii="Times New Roman" w:cs="Times New Roman" w:eastAsia="Times New Roman" w:hAnsi="Times New Roman"/>
          <w:sz w:val="18"/>
          <w:szCs w:val="18"/>
          <w:color w:val="auto"/>
        </w:rPr>
        <w:t>”). On such Settlement Date, each Lender shall pay to the Administrative Agent the amount equal to the difference between its Required Share and its Revolving Credit Loans, and the Administrative Agent shall pay to each Lender its Ratable Share of all payments made by the Borrowers to the Administrative Agent with respect to the Revolving Credit Loans. In addition to effecting settlement on each Settlement Date, the Administrative Agent shall also effect settlement in accordance with the procedures outlined in the foregoing sentence on the proposed Borrowing Dates for Revolving Credit Loans and on any mandatory prepayment date as provided for herein and may at its option effect settlement on any other Business Day. These settlement procedures are established solely as a matter of administrative convenience, and nothing contained in this Section 5.11 shall relieve the Lenders of their obligations to fund Revolving Credit Loans on dates other than a Settlement Date pursuant to Section 2.1.2 [Swing Loan Commitment].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Borrowers to the Administrative Agent with respect to the Revolving Credit Loans.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At any time that there shall exist a Defaulting Lender, within one (1) Business Day following the written request of the Administrative Agent or the Issuing Lender (with a copy to the Administrative Agent) the Borrowers shall Cash Collateralize the Issuing Lender’s Fronting Exposure with respect to such Defaulting Lender (determined after giving effect to Section 2.10.1(iv) [Reallocation of Participations to Reduce Fronting Exposure] and any Cash Collateral provided by such Defaulting Lender) in an amount not less than the Minimum Collateral Amount.</w:t>
      </w:r>
    </w:p>
    <w:p>
      <w:pPr>
        <w:spacing w:after="0" w:line="180" w:lineRule="exact"/>
        <w:rPr>
          <w:sz w:val="20"/>
          <w:szCs w:val="20"/>
          <w:color w:val="auto"/>
        </w:rPr>
      </w:pPr>
    </w:p>
    <w:p>
      <w:pPr>
        <w:jc w:val="both"/>
        <w:ind w:firstLine="1304"/>
        <w:spacing w:after="0" w:line="255" w:lineRule="auto"/>
        <w:tabs>
          <w:tab w:leader="none" w:pos="21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The Borrowers, and to the extent provided by any Defaulting Lender, such Defaulting Lender, hereby grants to the Administrative Agent, for the benefit of the Issuing Lender, and agrees to maintain, a first priority security interest in all such Cash Collateral as security for the Defaulting Lenders’ obligation to fund participations in respect of Letter of Credit Obligations, to be applied pursuant to clause (b) below. If at any time the Administrative Agent determines that Cash Collateral is subject to any right or claim of any Person other than the Administrative Agent and the Issuing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Notwithstanding anything to the contrary contained in this Agreement, Cash Collateral provided under this Section 5.12 or Section 2.10 [Defaulting Lender] in respect of Letters of Credit shall be applied to the satisfaction of the Defaulting Lender’s obligation to fund participations in respect of Letter of Credit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0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Requirement</w:t>
      </w:r>
      <w:r>
        <w:rPr>
          <w:rFonts w:ascii="Times New Roman" w:cs="Times New Roman" w:eastAsia="Times New Roman" w:hAnsi="Times New Roman"/>
          <w:sz w:val="18"/>
          <w:szCs w:val="18"/>
          <w:color w:val="auto"/>
        </w:rPr>
        <w:t xml:space="preserve">. Cash Collateral (or the appropriate portion thereof) provided to reduce the Issuing Lender’s Fronting Exposure shall no longer be required to be held as Cash Collateral pursuant to this Section 5.12 following (i) the elimination of the applicable Fronting Exposure (including by the termination of Defaulting Lender status of the applicable Lender), or (ii) the determination by the Administrative Agent and the Issuing Lender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Section 2.10 [Defaulting Lenders] the Person providing Cash Collateral and the Issuing Lender may agree that Cash Collateral shall be held to support future anticipated Fronting Exposure or other obligations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to the extent that such Cash Collateral was provided by the Borrower, such Cash Collateral shall remain subject to the security interest granted pursuant to Section 5.12(a) above.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Replacement of a Lender.</w:t>
      </w:r>
      <w:r>
        <w:rPr>
          <w:rFonts w:ascii="Times New Roman" w:cs="Times New Roman" w:eastAsia="Times New Roman" w:hAnsi="Times New Roman"/>
          <w:sz w:val="18"/>
          <w:szCs w:val="18"/>
          <w:color w:val="auto"/>
        </w:rPr>
        <w:t xml:space="preserve"> In the event any Lender (i) gives notice under Section 4.4 [Rate Unascertainable, Etc.], (ii) requests compensation under Section 5.8 [Increased Costs], or requires the Borrowers to pay any Indemnified Taxes or additional amount to any Lender or any Official Body for the account of any Lender pursuant to Section 5.9 [Taxes], (iii) is a Defaulting Lender, (iv) becomes subject to the control of an Official Body (other than normal and customary supervision), or (v) is a Non-Consenting Lender referred to in Section 11.1 [Modifications, Amendments or Waivers], then in any such event the Borrowers may, at their sole expense, upon notice to such Lender and the Administrative Agent, require such Lender to assign and delegate, without recourse (in accordance with and subject to the restrictions contained in, and consents required by, Section 11.8 [Successors and Assigns]), all of its interests, rights (other than existing rights to payments pursuant to Section 5.8 [Increased Costs] or 5.9 [Taxes]) and indemnification and other rights which expressly survive Payment in Full as provided in this Agreement and the other Loan Documents and obligations under this Agreement and the related Loan Documents to an assignee that shall assume such obligations (which assignee may be another Lender, if a Lender accepts such assignment), provided that:</w:t>
      </w:r>
    </w:p>
    <w:p>
      <w:pPr>
        <w:spacing w:after="0" w:line="194" w:lineRule="exact"/>
        <w:rPr>
          <w:sz w:val="20"/>
          <w:szCs w:val="20"/>
          <w:color w:val="auto"/>
        </w:rPr>
      </w:pPr>
    </w:p>
    <w:p>
      <w:pPr>
        <w:ind w:left="2520" w:hanging="568"/>
        <w:spacing w:after="0"/>
        <w:tabs>
          <w:tab w:leader="none" w:pos="2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paid to the Administrative Agent the assignment fee specified in Section 11.8 [Successors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w:t>
      </w:r>
    </w:p>
    <w:p>
      <w:pPr>
        <w:spacing w:after="0" w:line="207" w:lineRule="exact"/>
        <w:rPr>
          <w:sz w:val="20"/>
          <w:szCs w:val="20"/>
          <w:color w:val="auto"/>
        </w:rPr>
      </w:pPr>
    </w:p>
    <w:p>
      <w:pPr>
        <w:jc w:val="both"/>
        <w:ind w:firstLine="1952"/>
        <w:spacing w:after="0" w:line="261" w:lineRule="auto"/>
        <w:tabs>
          <w:tab w:leader="none" w:pos="25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and Participation Advances, accrued interest thereon, accrued fees and all other amounts payable to it hereunder and under the other Loan Documents (including any amounts under Section 5.10 [Indemnity]) from the assignee (to the extent of such outstanding principal and accrued interest and fees) or the Borrowers (in the case of all other amounts);</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5.8.1 [Increased Costs Generally] or payments required to be made pursuant to Section 5.9 [Taxes], such assignment will result in a reduction in such compensation or payments thereafter;</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 and</w:t>
      </w:r>
    </w:p>
    <w:p>
      <w:pPr>
        <w:spacing w:after="0" w:line="225" w:lineRule="exact"/>
        <w:rPr>
          <w:rFonts w:ascii="Times New Roman" w:cs="Times New Roman" w:eastAsia="Times New Roman" w:hAnsi="Times New Roman"/>
          <w:sz w:val="18"/>
          <w:szCs w:val="18"/>
          <w:color w:val="auto"/>
        </w:rPr>
      </w:pPr>
    </w:p>
    <w:p>
      <w:pPr>
        <w:ind w:right="360" w:firstLine="1952"/>
        <w:spacing w:after="0" w:line="282" w:lineRule="auto"/>
        <w:tabs>
          <w:tab w:leader="none" w:pos="26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Section 5.8 [Increased Costs], or the Borrowers are or will be required to pay any Indemnified Taxes or additional amounts to any Lender or any Official Body for the account of any Lender pursuant to Section 5.9 [Taxes], then such Lender shall (at the request of the Borrowers)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5.8 [Increased Costs] or Section 5.9 [Taxes], as the case may be, in the future, and (ii) would not subject such Lender to any material unreimbursed cost or expense and would not otherwise be materially disadvantageous to such Lender. The Borrowers hereby agree to pay all reasonable costs and expenses incurred by any Lender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-989330</wp:posOffset>
            </wp:positionV>
            <wp:extent cx="285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2" w:lineRule="exact"/>
        <w:rPr>
          <w:sz w:val="20"/>
          <w:szCs w:val="20"/>
          <w:color w:val="auto"/>
        </w:rPr>
      </w:pPr>
    </w:p>
    <w:p>
      <w:pPr>
        <w:ind w:left="4280" w:hanging="586"/>
        <w:spacing w:after="0"/>
        <w:tabs>
          <w:tab w:leader="none" w:pos="4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Loan Parties, jointly and severally, represent and warrant to the Administrative Agent and each of the Lenders as follows:</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Organization and Qualification; Power and Authority; Compliance With Laws; Title to Properties; Event of Default.</w:t>
      </w:r>
      <w:r>
        <w:rPr>
          <w:rFonts w:ascii="Times New Roman" w:cs="Times New Roman" w:eastAsia="Times New Roman" w:hAnsi="Times New Roman"/>
          <w:sz w:val="18"/>
          <w:szCs w:val="18"/>
          <w:color w:val="auto"/>
        </w:rPr>
        <w:t xml:space="preserve"> Each Loan Party (i) is a corporation, partnership or limited liability company duly organized or formed, validly existing and in good standing under the Laws of its jurisdiction of organization, (ii) has all necessary lawful power and authority, and all necessary licenses, approvals and authorizations to own or lease its properties and to engage in the business it presently conducts or proposes to conduct, (iii) is duly licensed or qualified and in good standing in each jurisdiction listed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1 and in all other jurisdictions where the property owned or leased by it or the nature of the business transacted by it or both makes such licensing or qualification necessary except where the failure to do so would not constitute a Material Adverse Change, (iv) has full power and authority to enter into, execute, deliver and carry out this Agreement and the other Loan Documents to which it is a party, to incur the Indebtedness contemplated by the Loan Documents and to perform its Obligations under the Loan Documents to which it is a party, and all such actions have been duly authorized by all necessary action and proceedings on its part, (v) is in compliance in all material respects with all applicable Laws (other than Environmental Laws which are specifically addressed in Section 6.1.14 [Environmental Matters]) in all jurisdictions in which any Loan Party is presently or will be doing business except where (A) the failure to do so, either individually or in the aggregate, would not reasonably be expected to constitute a Material Adverse Change or (B) any non-compliance is being contested in good faith by appropriate proceedings diligently conducted, and (vi) has good and marketable title to or valid leasehold interest in all properties, assets and other rights which it purports to own or lease or which are reflected as owned or leased on its books and records, free and clear of all Liens and encumbrances except Permitted Liens. No Event of Default or Potential Default exists or is continuing.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Subsidiaries and Owners; Investment Companies. Schedule 6.1.2</w:t>
      </w:r>
      <w:r>
        <w:rPr>
          <w:rFonts w:ascii="Times New Roman" w:cs="Times New Roman" w:eastAsia="Times New Roman" w:hAnsi="Times New Roman"/>
          <w:sz w:val="18"/>
          <w:szCs w:val="18"/>
          <w:color w:val="auto"/>
        </w:rPr>
        <w:t xml:space="preserve"> states (i) the name of each holder of an equity interest in each Borrower (other than the Company), the amount, percentage and type of such equity interest (the “</w:t>
      </w:r>
      <w:r>
        <w:rPr>
          <w:rFonts w:ascii="Times New Roman" w:cs="Times New Roman" w:eastAsia="Times New Roman" w:hAnsi="Times New Roman"/>
          <w:sz w:val="18"/>
          <w:szCs w:val="18"/>
          <w:b w:val="1"/>
          <w:bCs w:val="1"/>
          <w:color w:val="auto"/>
        </w:rPr>
        <w:t>Borrowers Equity Interests</w:t>
      </w:r>
      <w:r>
        <w:rPr>
          <w:rFonts w:ascii="Times New Roman" w:cs="Times New Roman" w:eastAsia="Times New Roman" w:hAnsi="Times New Roman"/>
          <w:sz w:val="18"/>
          <w:szCs w:val="18"/>
          <w:color w:val="auto"/>
        </w:rPr>
        <w:t>”), (ii) the name of each Loan Party’s Subsidiaries, the jurisdiction of organization of each Loan Party and each of its Subsidiaries, and the amount, percentage and type of such Loan Party's equity interests in such Subsidiary, to the extent that such information is not included in clause (i) of this Section (the “</w:t>
      </w:r>
      <w:r>
        <w:rPr>
          <w:rFonts w:ascii="Times New Roman" w:cs="Times New Roman" w:eastAsia="Times New Roman" w:hAnsi="Times New Roman"/>
          <w:sz w:val="18"/>
          <w:szCs w:val="18"/>
          <w:b w:val="1"/>
          <w:bCs w:val="1"/>
          <w:color w:val="auto"/>
        </w:rPr>
        <w:t>Subsidiary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w:t>
      </w:r>
      <w:r>
        <w:rPr>
          <w:rFonts w:ascii="Times New Roman" w:cs="Times New Roman" w:eastAsia="Times New Roman" w:hAnsi="Times New Roman"/>
          <w:sz w:val="18"/>
          <w:szCs w:val="18"/>
          <w:color w:val="auto"/>
        </w:rPr>
        <w:t>”), and (iii) any options, warrants or other rights outstanding to purchase any such equity interests referred to in clauses (i) and (ii) of this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Each Borrower and each Subsidiary thereof has good and marketable title to all of the Subsidiary Equity Interests it purports to own, free and clear in each case of any Lien and all such Subsidiary Equity Interests have been validly issued, fully paid and nonassessable. None of the Loan Parties or Subsidiaries of any Loan Party is an “investment company” registered or required to be registered under the Investment Company Act of 1940 or under the “control” of an “investment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such terms are defined in the Investment Company Act of 1940 and shall not become such an “investment company” or under such “control.”</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Validity and Binding Effect.</w:t>
      </w:r>
      <w:r>
        <w:rPr>
          <w:rFonts w:ascii="Times New Roman" w:cs="Times New Roman" w:eastAsia="Times New Roman" w:hAnsi="Times New Roman"/>
          <w:sz w:val="18"/>
          <w:szCs w:val="18"/>
          <w:color w:val="auto"/>
        </w:rPr>
        <w:t xml:space="preserve"> This Agreement and each of the other Loan Documents (i) has been duly and validly executed and delivered by each Loan Party, and (ii) constitutes, or will constitute, legal, valid and binding obligations of each Loan Party which is or will be a party thereto, enforceable against such Loan Party in accordance with its terms, subject to applicable bankruptcy, insolvency, reorganization, moratorium or other laws affecting creditors’ rights generally and subject to general principles of equity.</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No Conflict; Material Agreements; Consents.</w:t>
      </w:r>
      <w:r>
        <w:rPr>
          <w:rFonts w:ascii="Times New Roman" w:cs="Times New Roman" w:eastAsia="Times New Roman" w:hAnsi="Times New Roman"/>
          <w:sz w:val="18"/>
          <w:szCs w:val="18"/>
          <w:color w:val="auto"/>
        </w:rPr>
        <w:t xml:space="preserve"> 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(i) the terms and conditions of the certificate of incorporation, bylaws, certificate of limited partnership, partnership agreement, certificate of formation, limited liability company agreement or other organizational documents of any Loan Party or (ii) any Law or any material agreement or instrument or order, writ, judgment, injunction or decree to which any Loan Party is a party or by which it is bound or to which it is subject, or result in the creation or enforcement of any Lien, charge or encumbrance whatsoever upon any property (now or hereafter acquired) of any Loan Party (other than Liens granted under the Loan Documents). There is no default under such material agreement (referred to above) which constitutes a Material Adverse Change and none of the Loan Parties is bound by any contractual obligation, or subject to any restriction in any organization document, or any requirement of Law which constitutes a Material Adverse Change. No consent, approval, exemption, order or authorization of, or a registration or filing with, any Official Body or any other Person is required by any Law or any agreement in connection with the execution, delivery and carrying out of this Agreement and the other Loan Documents other than filings to perfect the security interests contemplated by the Loan Documents.</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are no actions, suits, claims, proceedings or investigations pending or, to the knowledge of any Loan Party, threatened against such Loan Party or any Subsidiary of such Loan Party or any of their properties at law or in equity before any Official Body which (a) individually or in the aggregate would reasonably be expected to result in any Material Adverse Change or (b) state to affect, impact or restate this Agreement or any of the other Loan Documents or the transactions contemplated hereby or thereby. None of the Loan Parties or any Subsidiaries of any Loan Party is in violation of any order, writ, injunction or any decree of any Official Body which would reasonably be expected to result in any Material Adverse Change.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7"/>
          <w:szCs w:val="17"/>
          <w:u w:val="single" w:color="auto"/>
          <w:color w:val="auto"/>
        </w:rPr>
        <w:t>Financial Statements.</w:t>
      </w:r>
    </w:p>
    <w:p>
      <w:pPr>
        <w:spacing w:after="0" w:line="225" w:lineRule="exact"/>
        <w:rPr>
          <w:sz w:val="20"/>
          <w:szCs w:val="20"/>
          <w:color w:val="auto"/>
        </w:rPr>
      </w:pPr>
    </w:p>
    <w:p>
      <w:pPr>
        <w:jc w:val="both"/>
        <w:ind w:firstLine="1952"/>
        <w:spacing w:after="0" w:line="254" w:lineRule="auto"/>
        <w:tabs>
          <w:tab w:leader="none" w:pos="294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Historical Statements</w:t>
      </w:r>
      <w:r>
        <w:rPr>
          <w:rFonts w:ascii="Times New Roman" w:cs="Times New Roman" w:eastAsia="Times New Roman" w:hAnsi="Times New Roman"/>
          <w:sz w:val="18"/>
          <w:szCs w:val="18"/>
          <w:color w:val="auto"/>
        </w:rPr>
        <w:t>. The Loan Parties have delivered to the Administrative Agent copies of their audited consolidated and consolidating year-end financial statements for and as of the end of the fiscal year ended on or about September 27, 2024. In addition, the Loan Parties have delivered to the Administrative Agent copies of their unaudited consolidated interim financial statements for the fiscal year to date and as of the end of the fiscal quarter ended June 27, 2025, all such annual and interim statements being collectively referred to as the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The Statements were compiled from the books and records maintained by the Loan Parties' management, are correct and complete in all material respects and fairly represent the consolidated and consolidating financial condition of the Loan Parties and their Subsidiaries as of the respective dates thereof and the results of operations for the fiscal periods then ended and have been prepared in accordance with GAAP consistently applied, subject (in the case of the interim statements) to normal year-end audit adjustments.</w:t>
      </w:r>
    </w:p>
    <w:p>
      <w:pPr>
        <w:spacing w:after="0" w:line="19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Financial Statements</w:t>
      </w:r>
      <w:r>
        <w:rPr>
          <w:rFonts w:ascii="Times New Roman" w:cs="Times New Roman" w:eastAsia="Times New Roman" w:hAnsi="Times New Roman"/>
          <w:sz w:val="18"/>
          <w:szCs w:val="18"/>
          <w:color w:val="auto"/>
        </w:rPr>
        <w:t>. No Borrower nor any Subsidiary thereof has any material liabilities, contingent or otherwise, or forward or long-term commitments that are not disclosed in the Statements or in the notes thereto, and except as disclosed therein there are no unrealized or anticipated losses from any commitments of the Borrowers or any Subsidiary thereof which constitutes a Material Adverse Change. Since September 27, 2024, no event has occurred which could reasonably be expected to be material and adverse to the business, properties, assets, financial condition or results of operations of the Loan Parties taken as a whole.</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8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Projections</w:t>
      </w:r>
      <w:r>
        <w:rPr>
          <w:rFonts w:ascii="Times New Roman" w:cs="Times New Roman" w:eastAsia="Times New Roman" w:hAnsi="Times New Roman"/>
          <w:sz w:val="18"/>
          <w:szCs w:val="18"/>
          <w:color w:val="auto"/>
        </w:rPr>
        <w:t>. The Borrowers have delivered to the Administrative Agent a summary of projected financial statements (including, without limitation, statements of operations and cash flow together with a detailed explanation of the assumptions used in preparing such projected financial statements) of the Borrowers and their Subsidiaries for the period from the Closing Date through 2029 derived from various assumptions of the Loan Parties’ management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The Projections represent a reasonable range of possible results in light of the history of the business, present and foreseeable conditions and the intentions of the Borrowers’ management, it being understood that such Projections are (i) as to future events and not to be viewed as facts, (ii) are subject to significant uncertainties and contingencies, many of which are beyond the Loan Parties’ control, and (iii) no assurance can be given that the Projections will be realized.</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xml:space="preserve"> None of the Loan Parties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None of the Loan Parties holds or intends to hold margin stock in such amounts that more than 25% of the reasonable value of the assets of any Loan Party are or will be represented by margin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xml:space="preserve"> Neither this Agreement nor any other Loan Document, nor any certificate, statement, agreement or other documents furnished to the Administrative Agent or any Lender by a Loan Party in connection herewith or therewith, contains any untrue statement of a material fact or omits to state a material fact necessary in order to make the statements contained herein and therein, in light of the circumstances under which they were made, not misleading; provided that, with respect to projected financial information, each Loan Party represents only that such information was prepared in good faith based upon assumptions believed to be reasonable at the time. As of the date of this Agreement, there is no fact known to any Loan Party which materially adversely affects the business, property, assets, financial condition, or results of operations of any Loan Party which has not been set forth in this Agreement or in the certificates, statements, agreements or other documents furnished in writing by a Loan Party to the Administrative Agent and the Lenders prior to or at the date hereof in connection with the transactions contemplated hereby.</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All material federal, state, local and other tax returns required to have been filed with respect to each Loan Party have been filed, and payment or adequate provision has been made for the payment of all material taxes, fees, assessments and other governmental charges which have or may become due pursuant to said returns or to assessments received, except to the extent that such taxes, fees, assessments and other charges are being contested in good faith by appropriate proceedings diligently conducted and for which such reserves or other appropriate provisions, if any, as shall be required by GAAP shall have been made.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6.1.10 </w:t>
      </w:r>
      <w:r>
        <w:rPr>
          <w:rFonts w:ascii="Times New Roman" w:cs="Times New Roman" w:eastAsia="Times New Roman" w:hAnsi="Times New Roman"/>
          <w:sz w:val="18"/>
          <w:szCs w:val="18"/>
          <w:u w:val="single" w:color="auto"/>
          <w:color w:val="auto"/>
        </w:rPr>
        <w:t>Patents, Trademarks, Copyrights, Licenses, Etc.</w:t>
      </w:r>
      <w:r>
        <w:rPr>
          <w:rFonts w:ascii="Times New Roman" w:cs="Times New Roman" w:eastAsia="Times New Roman" w:hAnsi="Times New Roman"/>
          <w:sz w:val="18"/>
          <w:szCs w:val="18"/>
          <w:color w:val="auto"/>
        </w:rPr>
        <w:t xml:space="preserve"> Each Loan Party owns or possesses all the material patents, trademarks, service marks, trade names, copyrights, licenses, registrations, franchises, permits and rights necessary to own and operate its properties and to carry on its business as presently conducted and planned to be conducted by such Loan Party, without known possible, alleged or actual conflict with the rights of others which constitutes, individually or in the aggregate, a Material Adverse Change.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6.1.11 </w:t>
      </w:r>
      <w:r>
        <w:rPr>
          <w:rFonts w:ascii="Times New Roman" w:cs="Times New Roman" w:eastAsia="Times New Roman" w:hAnsi="Times New Roman"/>
          <w:sz w:val="18"/>
          <w:szCs w:val="18"/>
          <w:u w:val="single" w:color="auto"/>
          <w:color w:val="auto"/>
        </w:rPr>
        <w:t>Liens in the Collateral.</w:t>
      </w:r>
      <w:r>
        <w:rPr>
          <w:rFonts w:ascii="Times New Roman" w:cs="Times New Roman" w:eastAsia="Times New Roman" w:hAnsi="Times New Roman"/>
          <w:sz w:val="18"/>
          <w:szCs w:val="18"/>
          <w:color w:val="auto"/>
        </w:rPr>
        <w:t xml:space="preserve"> The Liens in the Collateral granted to the Administrative Agent for the benefit of the Secured Parties pursuant to the Collateral Documents constitute and will continue to constitute first priority, perfected security interests, except in the case of (a) Permitted Liens, to the extent any such Permitted Liens would have priority over Liens in favor of the Administrative Agent pursuant to any applicable Law and (b) Liens perfected only by possession, to the extent the Administrative Agent has not obtained or does not maintain possession of such Collateral. All filing fees and other expenses in connection with the perfection of such Liens have been or will be paid by the Borrowers.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6.1.12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properties of each Loan Party are insured pursuant to policies and other bonds which are valid and in full force and effect and which provide adequate coverage from reputable and financially sound insurers in amounts sufficient to insure the assets and risks of each such Loan Party in accordance with prudent business practice in the industry of such Loan Parties.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6.1.13</w:t>
      </w:r>
      <w:r>
        <w:rPr>
          <w:sz w:val="20"/>
          <w:szCs w:val="20"/>
          <w:color w:val="auto"/>
        </w:rPr>
        <w:tab/>
      </w:r>
      <w:r>
        <w:rPr>
          <w:rFonts w:ascii="Times New Roman" w:cs="Times New Roman" w:eastAsia="Times New Roman" w:hAnsi="Times New Roman"/>
          <w:sz w:val="17"/>
          <w:szCs w:val="17"/>
          <w:u w:val="single" w:color="auto"/>
          <w:color w:val="auto"/>
        </w:rPr>
        <w:t>ERISA Compliance.</w:t>
      </w:r>
    </w:p>
    <w:p>
      <w:pPr>
        <w:spacing w:after="0" w:line="225" w:lineRule="exact"/>
        <w:rPr>
          <w:sz w:val="20"/>
          <w:szCs w:val="20"/>
          <w:color w:val="auto"/>
        </w:rPr>
      </w:pPr>
    </w:p>
    <w:p>
      <w:pPr>
        <w:jc w:val="both"/>
        <w:ind w:firstLine="1952"/>
        <w:spacing w:after="0" w:line="254" w:lineRule="auto"/>
        <w:tabs>
          <w:tab w:leader="none" w:pos="25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Pension Plan is in compliance in all material respects with the applicable provisions of ERISA, the Code and other federal or state Laws. Each Pension Plan that is intended to qualify under Section 401(a) of the Code has received from the IRS a favorable determination or opinion letter, which has not by its terms expired, that such Pension Plan is so qualified, or such Pension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Borrowers, nothing has occurred which would prevent, or cause the loss of, such qualification. Borrowers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2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best knowledge of the Borrowers, threatened claims, actions or lawsuits, or action by any Official Body, with respect to any Pension Plan that could reasonably be expected to result in a Material Adverse Change. There has been no prohibited transaction or violation of the fiduciary responsibility rules with respect to any Pension Plan that has resulted or could reasonably be expected to result in a Material Adverse Change.</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ERISA Event has occurred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no Borrower nor any member of the ERISA Group has incurred, or reasonably expects to incur, any liability under Title IV of ERISA with respect to any Pension Plan (other than premiums due and not delinquent under Section 4007 of ERISA); (d) no Borrower nor any member of the ERISA Group has incurred, or reasonably expects to incur, any liability (and no event has occurred which, with the giving of notice under Section 4219 of ERISA, would result in such liability) under Section 4201 of ERISA, with respect to a Multiemployer Plan; (e) no Borrower nor any member of the ERISA Group has received notice pursuant to Section 4242(a)(1)(B) of ERISA that a Multiemployer Plan is in reorganization and that additional contributions are due to the Multiemployer Plan pursuant to Section 4243 of ERISA; (f) no Borrower nor any member of the ERISA Group has engaged in a transaction that could be subject to Sections 4069 or 4212(c) of ERISA; and (g)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w:t>
      </w:r>
    </w:p>
    <w:p>
      <w:pPr>
        <w:spacing w:after="0" w:line="19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Each Loan Party is and, to the knowledge of each respective Loan Party has been in compliance with applicable Environmental Laws except where failure to do so does not in the aggregate constitute a Material Adverse Change.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6.1.15</w:t>
      </w:r>
      <w:r>
        <w:rPr>
          <w:sz w:val="20"/>
          <w:szCs w:val="20"/>
          <w:color w:val="auto"/>
        </w:rPr>
        <w:tab/>
      </w:r>
      <w:r>
        <w:rPr>
          <w:rFonts w:ascii="Times New Roman" w:cs="Times New Roman" w:eastAsia="Times New Roman" w:hAnsi="Times New Roman"/>
          <w:sz w:val="18"/>
          <w:szCs w:val="18"/>
          <w:u w:val="single" w:color="auto"/>
          <w:color w:val="auto"/>
        </w:rPr>
        <w:t xml:space="preserve">Solvency. </w:t>
      </w:r>
      <w:r>
        <w:rPr>
          <w:rFonts w:ascii="Times New Roman" w:cs="Times New Roman" w:eastAsia="Times New Roman" w:hAnsi="Times New Roman"/>
          <w:sz w:val="18"/>
          <w:szCs w:val="18"/>
          <w:color w:val="auto"/>
        </w:rPr>
        <w:t>On the Closing Date and after giving effect to the initial Loans hereunder, each of the Loan Parties is Solvent.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6.1.16 </w:t>
      </w:r>
      <w:r>
        <w:rPr>
          <w:rFonts w:ascii="Times New Roman" w:cs="Times New Roman" w:eastAsia="Times New Roman" w:hAnsi="Times New Roman"/>
          <w:sz w:val="18"/>
          <w:szCs w:val="18"/>
          <w:u w:val="single" w:color="auto"/>
          <w:color w:val="auto"/>
        </w:rPr>
        <w:t>Sanctions; International Trade, Anti-Money Laundering and Anti-Corruption Laws</w:t>
      </w:r>
      <w:r>
        <w:rPr>
          <w:rFonts w:ascii="Times New Roman" w:cs="Times New Roman" w:eastAsia="Times New Roman" w:hAnsi="Times New Roman"/>
          <w:sz w:val="18"/>
          <w:szCs w:val="18"/>
          <w:color w:val="auto"/>
        </w:rPr>
        <w:t>. No Covered Entity nor any of its directors, officers, or employees, nor, to the knowledge of any Loan Party, any agents or affiliates acting on behalf of any Covered Entity: (a) is a Sanctioned Person;</w:t>
      </w:r>
    </w:p>
    <w:p>
      <w:pPr>
        <w:jc w:val="both"/>
        <w:ind w:firstLine="8"/>
        <w:spacing w:after="0" w:line="251" w:lineRule="auto"/>
        <w:tabs>
          <w:tab w:leader="none" w:pos="27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business in or with, or derives any of its income, directly or indirectly, from any Sanctioned Person or any Sanctioned Jurisdiction; or (c) is in violation of, or is, directly or indirectly, taking any action that could cause any Covered Entity to be in violation of, applicable International Trade Laws, Sanctions, Anti-Money Laundering Laws, or Anti-Corruption Laws. No Covered Entity nor any of its directors, officers, or employees, nor to the knowledge of any Loan Party, any agents or affiliates acting on behalf of any Covered Entity: (x) is in receipt of any notice or communication from any Compliance Authority that alleges, or otherwise pertains to, an actual or potential violation of any International Trade Laws, Sanctions, Anti-Money Laundering Laws or Anti-Corruption Laws; or (y) is the target or subject of any investigation, or has received any request for information, involving any allegation relating to a violation of any International Trade Laws, Sanctions, Anti-Money Laundering Laws or Anti-Corruption Laws by an Official Body. Each Covered Entity has instituted, maintains, and enforces policies and procedures reasonably designed to ensure compliance with applicable International Trade Laws, Sanctions, Anti-Money Laundering Laws and Anti-Corruption Laws. There is no Covered Property pledged as Collateral.</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6.1.17 </w:t>
      </w:r>
      <w:r>
        <w:rPr>
          <w:rFonts w:ascii="Times New Roman" w:cs="Times New Roman" w:eastAsia="Times New Roman" w:hAnsi="Times New Roman"/>
          <w:sz w:val="18"/>
          <w:szCs w:val="18"/>
          <w:u w:val="single" w:color="auto"/>
          <w:color w:val="auto"/>
        </w:rPr>
        <w:t>Certificate of Beneficial Ownership.</w:t>
      </w:r>
      <w:r>
        <w:rPr>
          <w:rFonts w:ascii="Times New Roman" w:cs="Times New Roman" w:eastAsia="Times New Roman" w:hAnsi="Times New Roman"/>
          <w:sz w:val="18"/>
          <w:szCs w:val="18"/>
          <w:color w:val="auto"/>
        </w:rPr>
        <w:t xml:space="preserve"> The Certificate of Beneficial Ownership executed and delivered to the Administrative Agent and Lenders for each Borrower on or prior to the date of this Agreement, as updated from time to time in accordance with this Agreement, is accurate, complete and correct as of the date hereof and as of the date any such update is delivered. The Borrowers acknowledge and agree that the Certificate of Beneficial Ownership is one of the Loan Documents.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6.1.18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xml:space="preserve"> The Loan Parties have not experienced any strike, labor dispute, slow-down or work stoppage due to labor disagreements which constitutes a Material Adverse Change.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Updates to Schedules.</w:t>
      </w:r>
      <w:r>
        <w:rPr>
          <w:rFonts w:ascii="Times New Roman" w:cs="Times New Roman" w:eastAsia="Times New Roman" w:hAnsi="Times New Roman"/>
          <w:sz w:val="18"/>
          <w:szCs w:val="18"/>
          <w:color w:val="auto"/>
        </w:rPr>
        <w:t xml:space="preserve"> Should any of the information or disclosures provided on any of the Schedules attached hereto become outdated or incorrect in any material respect, the Borrowers shall promptly provide the Administrative Agent in writing with such revisions or updates to such Schedule as may be necessary or appropriate to update or correct same. No Schedule shall be deemed to have been amended, modified or superseded by any such correction or update, nor shall any breach of warranty or representation resulting from the inaccuracy or incompleteness of any such Schedule be deemed to have been cured thereby, unless and until the Administrative Agent, with the consent of the Required Lenders, in their sole and absolute discretion, shall have accepted in writing such revisions or updates to such Schedule; provided however, that the Borrowers may update any Schedules with any changes occurring after the Closing Date which are not prohibited by Article 8 [Covenants] hereof.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ind w:left="3420" w:hanging="583"/>
        <w:spacing w:after="0"/>
        <w:tabs>
          <w:tab w:leader="none" w:pos="3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LENDING AND ISSUANCE OF LETTERS OF CREDIT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First Loans and Letters of Credit.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 xml:space="preserve"> On the Closing Date, the Administrative Agent shall have received each of the following in form and substance satisfactory to the Administrative Agent:</w:t>
      </w:r>
    </w:p>
    <w:p>
      <w:pPr>
        <w:spacing w:after="0" w:line="162" w:lineRule="exact"/>
        <w:rPr>
          <w:sz w:val="20"/>
          <w:szCs w:val="20"/>
          <w:color w:val="auto"/>
        </w:rPr>
      </w:pPr>
    </w:p>
    <w:p>
      <w:pPr>
        <w:jc w:val="both"/>
        <w:ind w:firstLine="1952"/>
        <w:spacing w:after="0" w:line="256" w:lineRule="auto"/>
        <w:tabs>
          <w:tab w:leader="none" w:pos="25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of the Loan Parties signed by an Authorized Officer, dated the Closing Date stating that (A) all representations and warranties of the Loan Parties set forth in this Agreement are true and correct in all material respects, (B) the Loan Parties are in compliance with each of the covenants and conditions hereunder, C) no Event of Default or Potential Default exists, (D) no Material Adverse Change has occurred since the date of the last audited financial statements of the Borrowers delivered to the Administrative Agent; and (E) there are no actions, suits, proceedings or investigations pending or, to the knowledge of any Loan Party, threatened against such Loan Party at law or in equity before any Official Body which individually or in the aggregate constitute a Material Adverse Change.</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Closing Date and signed by the Secretary or an Assistant Secretary of each of the Loan Parties, certifying as appropriate as to: (a) all action taken by each Loan Party in connection with this Agreement and the other Loan Documents; (b) the names of the Authorized Officers authorized to sign the Loan Documents and their true signatures; and (c) copies of its organizational documents as in effect on the Closing Date certified by the appropriate state official where such documents are filed in a state office together with certificates from the appropriate state officials as to the continued existence and good standing of each Loan Party in each state where organized;</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5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each of the other Loan Documents signed by an Authorized Officer and all appropriate financing statements in connection with the Collateral;</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6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opinion of counsel for the Loan Parties, dated the Closing Date in form and substance satisfactory to the Administrative Agent and its counsel;</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1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adequate insurance, including flood insurance, if applicable, required to be maintained under this Agreement is in full force and effect, with additional insured and lender loss payable special endorsements attached thereto in form and substance satisfactory to the Administrative Agent and its counsel naming the Administrative Agent as additional insured and lender loss payee;</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67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Compliance Certificate as of the last day of the fiscal quarter of Borrowers ended June 27, 2025, signed by an Authorized Officer of Borrowers and setting forth pro forma compliance with the financial covenants contained herein;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ind w:firstLine="1952"/>
        <w:spacing w:after="0" w:line="282" w:lineRule="auto"/>
        <w:tabs>
          <w:tab w:leader="none" w:pos="260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and regulatory approvals and licenses necessary to effectuate the transactions contemplated hereby shall have been completed and there shall be an absence of any legal or regulatory prohibitions or restrictions;</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63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indebtedness and obligations under the Existing Credit Agreement have been amended and restated and shall from and after the Closing Date be evidenced by this Agreement and the other Loan Documents;</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searches in acceptable scope and with acceptable results;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and the Projections;</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2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Certificate of Beneficial Ownership in form and substance acceptable to the Administrative Agent and each Lender, and such other documentation and other information requested in connection with the applicable “know your customer” and anti-money laundering rules and regulations, including the USA PATRIOT Act; and</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in connection with such transactions as the Administrative Agent or its counsel may reasonably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xml:space="preserve"> The Borrowers shall have paid all fees and expenses payable on or before the Closing Date as required by this Agreement, the Administrative Agent's Letter or any other Loan Document.</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provisions of the last paragraph of Section 9.3 [Exculpatory Provisions], for purposes of determining compliance with the conditions specified in this Section 7.1,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Each Loan or Letter of Credit.</w:t>
      </w:r>
      <w:r>
        <w:rPr>
          <w:rFonts w:ascii="Times New Roman" w:cs="Times New Roman" w:eastAsia="Times New Roman" w:hAnsi="Times New Roman"/>
          <w:sz w:val="18"/>
          <w:szCs w:val="18"/>
          <w:color w:val="auto"/>
        </w:rPr>
        <w:t xml:space="preserve"> At the time of making any Loans or issuing, extending or increasing any Letters of Credit and after giving effect to the proposed extensions of credit: (i) the representations, warranties of the Loan Parties shall then be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any such representation or warranty is already qualified by materiality or Material Adverse Change, such representation or warranty shall be true and correct in all respects, and except that for purposes of this Section 7.2, the representations and warranties contained in Section 6.1.6 [Financial Statements; Projections] shall be deemed to refer to the most recent statements furnished pursuant to Section 8.3 [Reporting Requirements] (ii) no Event of Default or Potential Default shall have occurred and be continuing or would result from such Loan or Letter of Credit or the application of proceeds thereof, (iii) the making of the Loans or issuance, extension or increase of such Letter of Credit shall not contravene any Law applicable to any Loan Party or any of the Lenders, and (iv) the Borrowers shall have delivered to the Administrative Agent a duly executed and completed Loan Request or to the Issuing Lender an application for a Letter of Credit, as the case may be. Each Loan Request and Letter of Credit application shall be deemed to be a representation that the conditions specified in Section 7.1.1 [Deliveries] shall have been satisfied on or prior to the date thereof.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ind w:left="5380" w:hanging="593"/>
        <w:spacing w:after="0"/>
        <w:tabs>
          <w:tab w:leader="none" w:pos="5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Loan Parties, jointly and severally, covenant and agree that until Payment In Full, the Loan Parties shall comply at all times with the following covenants: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Affirmative Covenants.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Except as otherwise expressly permitted in Section 8.2.6 [Liquidations, Mergers, Etc.], each Loan Party shall maintain its legal existence as a corporation, limited partnership or limited liability company and its license or qualification and good standing (A) in each jurisdiction of formation or incorporation, as applicable, listed on </w:t>
      </w:r>
      <w:r>
        <w:rPr>
          <w:rFonts w:ascii="Times New Roman" w:cs="Times New Roman" w:eastAsia="Times New Roman" w:hAnsi="Times New Roman"/>
          <w:sz w:val="18"/>
          <w:szCs w:val="18"/>
          <w:u w:val="single" w:color="auto"/>
          <w:color w:val="auto"/>
        </w:rPr>
        <w:t>Schedule 6.1.1</w:t>
      </w:r>
      <w:r>
        <w:rPr>
          <w:rFonts w:ascii="Times New Roman" w:cs="Times New Roman" w:eastAsia="Times New Roman" w:hAnsi="Times New Roman"/>
          <w:sz w:val="18"/>
          <w:szCs w:val="18"/>
          <w:color w:val="auto"/>
        </w:rPr>
        <w:t>, and (B) in all other jurisdictions in which its ownership or lease of property or the nature of its business makes such license or qualification necessary except where failure to do so would not constitute a Material Adverse Change. Each Loan Party shall maintain all licenses, consents, permits, franchises, rights and qualifications necessary for the standard operation of its business, except where the maintenance thereof could not reasonably be expected to result in a Material Adverse Change. Each Loan Party shall maintain and preserve all intellectual properties, including without limitation trademarks, trade names, patents, copyrights and other marks, registered and necessary for the standard operation of its business except where the maintenance thereof could not reasonably be expected to result in a Material Adverse Change.</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Payment of Liabilities, Including Taxes, Etc.</w:t>
      </w:r>
      <w:r>
        <w:rPr>
          <w:rFonts w:ascii="Times New Roman" w:cs="Times New Roman" w:eastAsia="Times New Roman" w:hAnsi="Times New Roman"/>
          <w:sz w:val="18"/>
          <w:szCs w:val="18"/>
          <w:color w:val="auto"/>
        </w:rPr>
        <w:t xml:space="preserve"> Each Loan Party shall duly pay and discharge (a) all material liabilities to which it is subject or which are asserted against it, promptly as and when the same shall become due and payable, including all material taxes, assessments and governmental charges upon it or any of its properties, assets, income or profits, prior to the date on which penalties attach thereto, except to the extent that such liabilities, including taxes, assessments or charges, are being contested in good faith and by appropriate and lawful proceedings diligently conducted and for which such reserve or other appropriate provisions, if any, as shall be required by GAAP shall have been made and (b) all lawful and valid claims which, if unpaid, would result in the attachment of a Lien on its property as a matter of Law or contract.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xml:space="preserve"> Each Loan Party shall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 all as reasonably determined by the Administrative Agent. At the request of the Administrative Agent, the Loan Parties shall deliver to the Administrative Agent and each of the Lenders (x) on the Closing Date and annually thereafter an original certificate of insurance signed by the Loan Parties’ independent insurance broker describing and certifying as to the existence of the insurance on the Collateral required to be maintained by this Agreement and the other Loan Documents, together with a copy of the endorsement described in the next sentence attached to such certificate, and (y) from time to time a summary schedule indicating all insurance then in force with respect to each of the Loan Parties. Such policies of insurance shall contain special endorsements which include the provisions specified below or are otherwise in form acceptable to the Administrative Agent in its discretion. The applicable Loan Parties shall notify the Administrative Agent promptly of any occurrence causing a material loss or decline in value of the Collateral and the estimated (or actual, if available) amount of such loss or decline. Any monies received by the Administrative Agent constituting insurance proceeds may, at the option of the Administrative Agent, (a) in the case of property insurance proceeds received during the existence of an Event of Default, be applied by the Administrative Agent to the payment of the Obligations in accordance with the terms of the Credit Agreement, (b) for losses of less than $1,000,000 received at such time as no Event of Default or Potential Default exists, be disbursed by the Administrative Agent to the applicable Loan Parties, and (c) for losses equal to or greater than $1,000,000 received at such time as no Event of Default or Potential Default exists, be disbursed by the Administrative Agent to the applicable Loan Parties on such terms as are deemed appropriate by the Administrative Agent for the repair, restoration and/or replacement of Collateral and other property in respect of which such proceeds were received.</w:t>
      </w:r>
    </w:p>
    <w:p>
      <w:pPr>
        <w:spacing w:after="0" w:line="19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Maintenance of Properties and Leases.</w:t>
      </w:r>
      <w:r>
        <w:rPr>
          <w:rFonts w:ascii="Times New Roman" w:cs="Times New Roman" w:eastAsia="Times New Roman" w:hAnsi="Times New Roman"/>
          <w:sz w:val="18"/>
          <w:szCs w:val="18"/>
          <w:color w:val="auto"/>
        </w:rPr>
        <w:t xml:space="preserve"> Each Loan Party shall maintain in good repair, working order and condition (ordinary wear and tear excepted), in accordance with the general practice of other businesses of similar character and size, all of those properties and equipment useful or necessary to its business, and from time to time, such Loan Party will make or cause to be made all appropriate repairs, renewals or replacements thereof.</w:t>
      </w:r>
    </w:p>
    <w:p>
      <w:pPr>
        <w:spacing w:after="0" w:line="4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xml:space="preserve"> Each Loan Party shall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all in such detail and at such times and as often as any of the Lenders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Lender shall provide the Borrowers and the Administrative Agent with reasonable notice prior to any visit or inspection,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Borrowers shall not be responsible for the expenses of more than one audit, visit or inspection of the Administrative Agent and the Lenders collectively in any fiscal year unless an Event of Default has occurred and is continuing. In the event any Lender desires to conduct an audit of any Loan Party, such Lender shall make a reasonable effort to conduct such audit contemporaneously with any audit to be performed by the Administrative Agent.</w:t>
      </w:r>
    </w:p>
    <w:p>
      <w:pPr>
        <w:spacing w:after="0" w:line="200" w:lineRule="exact"/>
        <w:rPr>
          <w:sz w:val="20"/>
          <w:szCs w:val="20"/>
          <w:color w:val="auto"/>
        </w:rPr>
      </w:pPr>
    </w:p>
    <w:p>
      <w:pPr>
        <w:spacing w:after="0" w:line="20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Keeping of Records and Books of Account.</w:t>
      </w:r>
      <w:r>
        <w:rPr>
          <w:rFonts w:ascii="Times New Roman" w:cs="Times New Roman" w:eastAsia="Times New Roman" w:hAnsi="Times New Roman"/>
          <w:sz w:val="18"/>
          <w:szCs w:val="18"/>
          <w:color w:val="auto"/>
        </w:rPr>
        <w:t xml:space="preserve"> The Borrowers shall maintain and keep proper books of record and account which enable the Borrowers to issue financial statements in accordance with GAAP consistently applied and as otherwise required by applicable Laws of any Official Body having jurisdiction over the Borrowers and in which full, true and correct entries shall be made in all material respects of all its dealings and business and financial affairs.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Compliance with Laws; Use of Proceeds.</w:t>
      </w:r>
      <w:r>
        <w:rPr>
          <w:rFonts w:ascii="Times New Roman" w:cs="Times New Roman" w:eastAsia="Times New Roman" w:hAnsi="Times New Roman"/>
          <w:sz w:val="18"/>
          <w:szCs w:val="18"/>
          <w:color w:val="auto"/>
        </w:rPr>
        <w:t xml:space="preserve"> Each Loan Party shall comply with all applicable Laws, including all Environmental Laws, in all respects except where any failure to comply with any Law, individually or in the aggregate, shall not constitute a Material Adverse Change. The Loan Parties will use the Letters of Credit and the proceeds of the Loans only in accordance with Section 2.8 [Use of Proceeds] and as permitted by applicable Law.</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Each Loan Party shall, from time to time, at its expense, faithfully preserve and protect the Administrative Agent’s Lien on and first priority security interest in the Collateral whether now owned or hereafter acquired as a continuing first priority perfected Lien, subject only to Permitted Liens, and shall do such other acts and things as the Administrative Agent in its sole discretion may deem necessary or advisable from time to time in order to preserve, perfect and protect the Liens granted under the Loan Documents and to exercise and enforce its rights and remedies thereunder with respect to the Collateral.</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Sanctions; International Trade, Anti-Money Laundering, and Anti-Corruption Laws.</w:t>
      </w:r>
      <w:r>
        <w:rPr>
          <w:rFonts w:ascii="Times New Roman" w:cs="Times New Roman" w:eastAsia="Times New Roman" w:hAnsi="Times New Roman"/>
          <w:sz w:val="18"/>
          <w:szCs w:val="18"/>
          <w:color w:val="auto"/>
        </w:rPr>
        <w:t xml:space="preserve"> Each Loan Party shall: (a) in the event that any Collateral becomes Covered Property, promptly notify the Administrative Agent and provide to the Administrative Agent additional Collateral that is not Covered Property of at least equal value to the Collateral that became Covered Property, except to the extent prohibited by applicable Law; and (b) comply with applicable International Trade Laws, Sanctions, Anti-Money Laundering Laws and Anti-Corruption Laws and maintain and enforce policies and procedures reasonably designed to ensure compliance with all applicable International Trade Laws, Sanctions, Anti-Money Laundering Laws and Anti-Corruption Laws by each Covered Entity, each Covered Entity’s directors and officers, and any employee, agent or affiliate acting on behalf of each Covered Entity in connection with this Agreement.</w:t>
      </w:r>
    </w:p>
    <w:p>
      <w:pPr>
        <w:spacing w:after="0" w:line="189" w:lineRule="exact"/>
        <w:rPr>
          <w:sz w:val="20"/>
          <w:szCs w:val="20"/>
          <w:color w:val="auto"/>
        </w:rPr>
      </w:pPr>
    </w:p>
    <w:p>
      <w:pPr>
        <w:jc w:val="both"/>
        <w:ind w:firstLine="1296"/>
        <w:spacing w:after="0" w:line="218" w:lineRule="exact"/>
        <w:rPr>
          <w:sz w:val="20"/>
          <w:szCs w:val="20"/>
          <w:color w:val="auto"/>
        </w:rPr>
      </w:pPr>
      <w:r>
        <w:rPr>
          <w:rFonts w:ascii="Times New Roman" w:cs="Times New Roman" w:eastAsia="Times New Roman" w:hAnsi="Times New Roman"/>
          <w:sz w:val="18"/>
          <w:szCs w:val="18"/>
          <w:color w:val="auto"/>
        </w:rPr>
        <w:t xml:space="preserve">8.1.10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xml:space="preserve"> Each Qualified ECP Loan Party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Qualifying Party’s obligations under this Agreement or any other Loan Document in respect of Swap Obligations (provided, however, that each Qualified ECP Loan Party shall only be liable under this Section 8.1.10 for the maximum amount of such liability that can be hereby incurred without rendering its obligations under this Section 8.1.10, or otherwise under this Agreement or any other Loan Document, voidable under applicable law, including applicable law relating to fraudulent conveyance or fraudulent transfer, and not for any greater amount). The obligations of each Qualified ECP Loan Party under this Section 8.1.10 shall remain in full force and effect until Payment In Full of the Obligations and termination of this Agreement and the other Loan Documents. Each Qualified ECP Loan Party intends that this Section 8.1.10 constitute, and this Section 8.1.10 shall be deemed to constitute, a guarantee of the obligations of, and a “keepwell, support, or other agreement” for the benefit of each other Loan Party for all purposes of Section 1a(18(A)(v)(II) of the CEA.</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8.1.11 </w:t>
      </w:r>
      <w:r>
        <w:rPr>
          <w:rFonts w:ascii="Times New Roman" w:cs="Times New Roman" w:eastAsia="Times New Roman" w:hAnsi="Times New Roman"/>
          <w:sz w:val="18"/>
          <w:szCs w:val="18"/>
          <w:u w:val="single" w:color="auto"/>
          <w:color w:val="auto"/>
        </w:rPr>
        <w:t>Certificate of Beneficial Ownership and Other Additional Information.</w:t>
      </w:r>
      <w:r>
        <w:rPr>
          <w:rFonts w:ascii="Times New Roman" w:cs="Times New Roman" w:eastAsia="Times New Roman" w:hAnsi="Times New Roman"/>
          <w:sz w:val="18"/>
          <w:szCs w:val="18"/>
          <w:color w:val="auto"/>
        </w:rPr>
        <w:t xml:space="preserve"> Each of the Loan Parties shall provide to the Administrative Agent and the Lenders: (i) confirmation of the accuracy of the information set forth in the most recent Certificate of Beneficial Ownership provided to the Administrative Agent and Lenders; (ii) a new Certificate of Beneficial Ownership, in form and substance acceptable to the Administrative Agent and each Lender, when there is a change to the list of beneficial owners identified therein; and (iii) such other information and documentation as may reasonably be requested by the Administrative Agent or any Lender from time to time for purposes of compliance by the Administrative Agent or such Lender with applicable Laws (including without limitation the USA PATRIOT Act and other “know your customer” and anti-money laundering rules and regulations), and any policy or procedure implemented by the Administrative Agent or such Lender to comply therewith.</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8.1.12 </w:t>
      </w:r>
      <w:r>
        <w:rPr>
          <w:rFonts w:ascii="Times New Roman" w:cs="Times New Roman" w:eastAsia="Times New Roman" w:hAnsi="Times New Roman"/>
          <w:sz w:val="18"/>
          <w:szCs w:val="18"/>
          <w:u w:val="single" w:color="auto"/>
          <w:color w:val="auto"/>
        </w:rPr>
        <w:t>Post Closing Covenants.</w:t>
      </w:r>
      <w:r>
        <w:rPr>
          <w:rFonts w:ascii="Times New Roman" w:cs="Times New Roman" w:eastAsia="Times New Roman" w:hAnsi="Times New Roman"/>
          <w:sz w:val="18"/>
          <w:szCs w:val="18"/>
          <w:color w:val="auto"/>
        </w:rPr>
        <w:t xml:space="preserve"> The Borrowers shall use commercially reasonable efforts to obtain within ninety (90) days of the Closing Date an executed landlord’s waiver or other lien waiver and/or subordination agreement in a form satisfactory to the Administrative Agent from the lessor, warehouse operator or other applicable Person for each leased location or premises of a Borrower where Collateral having value in excess of $1,000,000 is located or stored.</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Negative Covenants.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8.2.1</w:t>
      </w:r>
      <w:r>
        <w:rPr>
          <w:sz w:val="20"/>
          <w:szCs w:val="20"/>
          <w:color w:val="auto"/>
        </w:rPr>
        <w:tab/>
      </w:r>
      <w:r>
        <w:rPr>
          <w:rFonts w:ascii="Times New Roman" w:cs="Times New Roman" w:eastAsia="Times New Roman" w:hAnsi="Times New Roman"/>
          <w:sz w:val="18"/>
          <w:szCs w:val="18"/>
          <w:u w:val="single" w:color="auto"/>
          <w:color w:val="auto"/>
        </w:rPr>
        <w:t xml:space="preserve">Indebtedness. </w:t>
      </w:r>
      <w:r>
        <w:rPr>
          <w:rFonts w:ascii="Times New Roman" w:cs="Times New Roman" w:eastAsia="Times New Roman" w:hAnsi="Times New Roman"/>
          <w:sz w:val="18"/>
          <w:szCs w:val="18"/>
          <w:color w:val="auto"/>
        </w:rPr>
        <w:t>Each of the Loan Parties shall not at any time create, incur, assume or suffer to exist any Indebtedness, except:</w:t>
      </w:r>
    </w:p>
    <w:p>
      <w:pPr>
        <w:spacing w:after="0" w:line="225" w:lineRule="exact"/>
        <w:rPr>
          <w:sz w:val="20"/>
          <w:szCs w:val="20"/>
          <w:color w:val="auto"/>
        </w:rPr>
      </w:pPr>
    </w:p>
    <w:p>
      <w:pPr>
        <w:ind w:left="2620" w:hanging="668"/>
        <w:spacing w:after="0"/>
        <w:tabs>
          <w:tab w:leader="none" w:pos="2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6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Existing Indebtedness as set forth on </w:t>
      </w:r>
      <w:r>
        <w:rPr>
          <w:rFonts w:ascii="Times New Roman" w:cs="Times New Roman" w:eastAsia="Times New Roman" w:hAnsi="Times New Roman"/>
          <w:sz w:val="18"/>
          <w:szCs w:val="18"/>
          <w:u w:val="single" w:color="auto"/>
          <w:color w:val="auto"/>
        </w:rPr>
        <w:t>Schedule 8.2.1</w:t>
      </w:r>
      <w:r>
        <w:rPr>
          <w:rFonts w:ascii="Times New Roman" w:cs="Times New Roman" w:eastAsia="Times New Roman" w:hAnsi="Times New Roman"/>
          <w:sz w:val="18"/>
          <w:szCs w:val="18"/>
          <w:color w:val="auto"/>
        </w:rPr>
        <w:t xml:space="preserve"> (including any extensions or renewals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there is no increase in the amount thereof or other significant change in the terms thereof unless otherwise specified on </w:t>
      </w:r>
      <w:r>
        <w:rPr>
          <w:rFonts w:ascii="Times New Roman" w:cs="Times New Roman" w:eastAsia="Times New Roman" w:hAnsi="Times New Roman"/>
          <w:sz w:val="18"/>
          <w:szCs w:val="18"/>
          <w:u w:val="single" w:color="auto"/>
          <w:color w:val="auto"/>
        </w:rPr>
        <w:t>Schedule 8.2.1;</w:t>
      </w:r>
    </w:p>
    <w:p>
      <w:pPr>
        <w:spacing w:after="0" w:line="161" w:lineRule="exact"/>
        <w:rPr>
          <w:rFonts w:ascii="Times New Roman" w:cs="Times New Roman" w:eastAsia="Times New Roman" w:hAnsi="Times New Roman"/>
          <w:sz w:val="18"/>
          <w:szCs w:val="18"/>
          <w:color w:val="auto"/>
        </w:rPr>
      </w:pPr>
    </w:p>
    <w:p>
      <w:pPr>
        <w:ind w:left="2820" w:hanging="868"/>
        <w:spacing w:after="0"/>
        <w:tabs>
          <w:tab w:leader="none" w:pos="2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with respect to Purchase Money Security Interests and capitalized leases secured by Liens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under Section 8.2.2 hereof;</w:t>
      </w:r>
    </w:p>
    <w:p>
      <w:pPr>
        <w:spacing w:after="0" w:line="206"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Loan Party to another Loan Party which is subordinated pursuant to the Intercompany Subordination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Loan Party to a direct or indirect Foreign Subsidiary of a Loan Party;</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3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Lender Provided Interest Rate Hedge, (ii) Lender Provided Foreign Currency Hedge, (ii) other Interest Rate Hedge or Foreign Currency Hedge approved by the Administrative Agent or (iii) Indebtedness under any Other Lender Provided Financial Service Products; provided however, the Loan Parties shall enter into an Interest Rate Hedge or Foreign Currency Hedge only for hedging (rather than speculative) purposes;</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available to any Loan Party under federal, state or local incentive loan programs which provide rates that are generally more favorable to Loan Parties than those that are commercially available from traditional lenders in an amount not to exceed Five Million Dollars ($5,000,000) in the aggregate at any time and after giving effect to the incurrence of such Indebtedness no Potential Default or Event of Default exists or would occur;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ind w:left="2580" w:hanging="628"/>
        <w:spacing w:after="0"/>
        <w:tabs>
          <w:tab w:leader="none" w:pos="25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up to an aggregate amount of $5,000,000 at any time outstanding.</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Liens; Lien Covenants.</w:t>
      </w:r>
      <w:r>
        <w:rPr>
          <w:rFonts w:ascii="Times New Roman" w:cs="Times New Roman" w:eastAsia="Times New Roman" w:hAnsi="Times New Roman"/>
          <w:sz w:val="18"/>
          <w:szCs w:val="18"/>
          <w:color w:val="auto"/>
        </w:rPr>
        <w:t xml:space="preserve"> Each of the Loan Parties shall not at any time create, incur, assume or suffer to exist any Lien on any of its property or assets, tangible or intangible, now owned or hereafter acquired, or agree or become liable to do so, except Permitted Liens.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Guaranties.</w:t>
      </w:r>
      <w:r>
        <w:rPr>
          <w:rFonts w:ascii="Times New Roman" w:cs="Times New Roman" w:eastAsia="Times New Roman" w:hAnsi="Times New Roman"/>
          <w:sz w:val="18"/>
          <w:szCs w:val="18"/>
          <w:color w:val="auto"/>
        </w:rPr>
        <w:t xml:space="preserve"> Each of the Loan Parties shall not at any time, directly or indirectly, become or be liable in respect of any Guaranty, or assume, guarantee, become surety for, endorse or otherwise agree, become or remain directly or contingently liable upon or with respect to any obligation or liability of any other Person, except for Guaranties of Indebtedness of the Loan Parties permitted hereunder.</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8.2.4</w:t>
      </w:r>
      <w:r>
        <w:rPr>
          <w:sz w:val="20"/>
          <w:szCs w:val="20"/>
          <w:color w:val="auto"/>
        </w:rPr>
        <w:tab/>
      </w:r>
      <w:r>
        <w:rPr>
          <w:rFonts w:ascii="Times New Roman" w:cs="Times New Roman" w:eastAsia="Times New Roman" w:hAnsi="Times New Roman"/>
          <w:sz w:val="17"/>
          <w:szCs w:val="17"/>
          <w:u w:val="single" w:color="auto"/>
          <w:color w:val="auto"/>
        </w:rPr>
        <w:t>Loans and Restricted Investments in Foreign Subsidiaries.</w:t>
      </w:r>
    </w:p>
    <w:p>
      <w:pPr>
        <w:spacing w:after="0" w:line="225" w:lineRule="exact"/>
        <w:rPr>
          <w:sz w:val="20"/>
          <w:szCs w:val="20"/>
          <w:color w:val="auto"/>
        </w:rPr>
      </w:pPr>
    </w:p>
    <w:p>
      <w:pPr>
        <w:ind w:left="1600" w:hanging="296"/>
        <w:spacing w:after="0"/>
        <w:tabs>
          <w:tab w:leader="none" w:pos="16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shall not at any time make or suffer to remain outstanding any loan or advance to any other Person, except:</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credit extended on usual and customary terms in the ordinary course of business;</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employees to meet expenses incurred by such employees in the ordinary course of business; and</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other Loan Parties.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Loan Parties shall not at any time make any Restricted Investments in Foreign Subsidiaries, except for Restricted Investments in the Foreign Subsidiaries (i) existing on the Closing Date and set forth on </w:t>
      </w:r>
      <w:r>
        <w:rPr>
          <w:rFonts w:ascii="Times New Roman" w:cs="Times New Roman" w:eastAsia="Times New Roman" w:hAnsi="Times New Roman"/>
          <w:sz w:val="18"/>
          <w:szCs w:val="18"/>
          <w:u w:val="single" w:color="auto"/>
          <w:color w:val="auto"/>
        </w:rPr>
        <w:t>Schedule 8.2.4</w:t>
      </w:r>
      <w:r>
        <w:rPr>
          <w:rFonts w:ascii="Times New Roman" w:cs="Times New Roman" w:eastAsia="Times New Roman" w:hAnsi="Times New Roman"/>
          <w:sz w:val="18"/>
          <w:szCs w:val="18"/>
          <w:color w:val="auto"/>
        </w:rPr>
        <w:t xml:space="preserve"> and (ii) made after the Closing Date not exceeding $20,000,000 in the aggregate at any one time.</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8.2.5 </w:t>
      </w:r>
      <w:r>
        <w:rPr>
          <w:rFonts w:ascii="Times New Roman" w:cs="Times New Roman" w:eastAsia="Times New Roman" w:hAnsi="Times New Roman"/>
          <w:sz w:val="18"/>
          <w:szCs w:val="18"/>
          <w:u w:val="single" w:color="auto"/>
          <w:color w:val="auto"/>
        </w:rPr>
        <w:t>Dividends, Stock Repurchases and Related Distributions.</w:t>
      </w:r>
      <w:r>
        <w:rPr>
          <w:rFonts w:ascii="Times New Roman" w:cs="Times New Roman" w:eastAsia="Times New Roman" w:hAnsi="Times New Roman"/>
          <w:sz w:val="18"/>
          <w:szCs w:val="18"/>
          <w:color w:val="auto"/>
        </w:rPr>
        <w:t xml:space="preserve"> Each of the Loan Parties shall not make or pay, or agree to become or remain liable to make or pay, any dividend or other distribution of any nature (whether in cash, property, securities or otherwise) on account of or in respect of its shares of Capital Stock, or on account of the purchase, redemption, retirement or acquisition of its shares of Capital Stock (or warrants, options or rights therefor), except for (i) dividends or other distributions payable to another Loan Party; and (ii) so long as no Potential Default or Event of Default exists or would result therefrom and the Borrowers are in pro forma compliance with the financial covenants contained in Sections 8.2.14 and 8.2.15 after giving effect thereto, dividends, distributions, or payments on account of the repurchase, redemption, retirement or acquisition of the Company's Capital Stock.</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8.2.6 </w:t>
      </w:r>
      <w:r>
        <w:rPr>
          <w:rFonts w:ascii="Times New Roman" w:cs="Times New Roman" w:eastAsia="Times New Roman" w:hAnsi="Times New Roman"/>
          <w:sz w:val="18"/>
          <w:szCs w:val="18"/>
          <w:u w:val="single" w:color="auto"/>
          <w:color w:val="auto"/>
        </w:rPr>
        <w:t>Liquidations, Mergers, Consolidations, Acquisitions.</w:t>
      </w:r>
      <w:r>
        <w:rPr>
          <w:rFonts w:ascii="Times New Roman" w:cs="Times New Roman" w:eastAsia="Times New Roman" w:hAnsi="Times New Roman"/>
          <w:sz w:val="18"/>
          <w:szCs w:val="18"/>
          <w:color w:val="auto"/>
        </w:rPr>
        <w:t xml:space="preserve"> Each of the Loan Parties shall not dissolve, liquidate or wind-up its affairs, or become a party to any merger or consolidation, or acquire by purchase, lease or otherwise all or substantially all of the assets or Capital Stock of any other Person or consummate an LLC Division; </w:t>
      </w:r>
      <w:r>
        <w:rPr>
          <w:rFonts w:ascii="Times New Roman" w:cs="Times New Roman" w:eastAsia="Times New Roman" w:hAnsi="Times New Roman"/>
          <w:sz w:val="18"/>
          <w:szCs w:val="18"/>
          <w:u w:val="single" w:color="auto"/>
          <w:color w:val="auto"/>
        </w:rPr>
        <w:t>provided that: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ind w:right="20" w:firstLine="1952"/>
        <w:spacing w:after="0" w:line="282" w:lineRule="auto"/>
        <w:tabs>
          <w:tab w:leader="none" w:pos="265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other than the Company may consolidate or merge into another Loan Party which is wholly-owned by one or more of the other Loan Parties; and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may acquire, whether by purchase or by merger: (a) all of the ownership interests of another Person; or</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6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assets of another Person or of a business or division of another Person (each a “</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provided that each of the following requirements is met:</w:t>
      </w:r>
    </w:p>
    <w:p>
      <w:pPr>
        <w:spacing w:after="0" w:line="18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0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Loan Party is acquiring the ownership interests in such Person, such Person shall execute a Borrower Joinder or Guarantor Joinder, as applicable, and join this Agreement as a Borrower or Guarantor, as applicable, within thirty (30) days after the date of such Permitted Acquisition;</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06"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other equivalent governing body of such Person shall have approved such Permitted Acquisition and, if the Loan Parties shall use any portion of the Loans to fund such Permitted Acquisition, the Loan Parties also shall have delivered to the Lenders written evidence of the approval of the board of directors (or equivalent body) of such Person for such Permitted Acquisition;</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328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acquired, or the business conducted by the Person whose ownership interests are being acquired, as applicable, shall be similar or complimentary to one or more line or lines of business or operations conducted by the Loan Parties;</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6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Potential Default or Event of Default shall exist immediately prior to and after giving effect to such Permitted Acquisition based on the most recent quarterly financial statements delivered to the Administrative Agent pursuant to Section 8.3.1 (and after including the financial impact of the Permitted Acquisition for the trailing twelve month period covered thereby);</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8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Permitted Acquisition (including the payment of all consideration payable as of the date of such Permitted Acquisition and all fees and transaction costs incurred in connection with such Permitted Acquisition), the Loan Parties shall be in pro forma compliance with the financial covenants contained in Sections 8.2.14 and 8.2.15; and</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21"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deliver to the Administrative Agent at least five (5) Business Days before such Permitted Acquisition copies of any agreements entered into or proposed to be entered into by such Loan Parties in connection with such Permitted Acquisition, and shall deliver to the Administrative Agent such other information about such Person or its assets as any Lender may reasonably require.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8.2.7 </w:t>
      </w:r>
      <w:r>
        <w:rPr>
          <w:rFonts w:ascii="Times New Roman" w:cs="Times New Roman" w:eastAsia="Times New Roman" w:hAnsi="Times New Roman"/>
          <w:sz w:val="18"/>
          <w:szCs w:val="18"/>
          <w:u w:val="single" w:color="auto"/>
          <w:color w:val="auto"/>
        </w:rPr>
        <w:t>Dispositions of Assets or Subsidiaries.</w:t>
      </w:r>
      <w:r>
        <w:rPr>
          <w:rFonts w:ascii="Times New Roman" w:cs="Times New Roman" w:eastAsia="Times New Roman" w:hAnsi="Times New Roman"/>
          <w:sz w:val="18"/>
          <w:szCs w:val="18"/>
          <w:color w:val="auto"/>
        </w:rPr>
        <w:t xml:space="preserve"> Each of the Loan Parties shall not sell, convey, assign, lease, abandon or otherwise transfer or dispose of, voluntarily or involuntarily, any of its properties or assets, tangible or intangible, including, in each case, by way of an LLC Division (including sale, assignment, discount or other disposition of accounts, contract rights, chattel paper, equipment or general intangibles with or without recourse or of Capital Stock of a Subsidiary of such Loan Party), except: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ind w:left="2620" w:hanging="668"/>
        <w:spacing w:after="0"/>
        <w:tabs>
          <w:tab w:leader="none" w:pos="2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the sale of inventory in the ordinary course of business;</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62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in the ordinary course of business which are no longer necessary or required in the conduct of such Loan Party's business;</w:t>
      </w:r>
    </w:p>
    <w:p>
      <w:pPr>
        <w:spacing w:after="0" w:line="16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by any wholly owned Subsidiary of such Loan Party to another Loan Party;</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in the ordinary course of business which are replaced by substitute assets acquired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or</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arms-length sales, transfers and dispositions so long as the fair market value of the assets transferred does not exceed $5,000,000 in the aggregate during any fiscal year of the Borrowers.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8.2.8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Each of the Loan Parties shall not enter into or carry out any transaction with any Affiliate of any Loan Party, other than another Loan Party (including purchasing property or services from or selling property or services to any Affiliate of any Loan Party or other Person) unless such transaction is not otherwise prohibited by this Agreement, is entered into in the ordinary course of business upon fair and reasonable arm's-length terms and conditions and is in accordance with all applicable Law; provided that nothing contained herein shall prohibit the Loan Parties from intercompany sales of inventory consistent with historical practices.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8.2.9 </w:t>
      </w:r>
      <w:r>
        <w:rPr>
          <w:rFonts w:ascii="Times New Roman" w:cs="Times New Roman" w:eastAsia="Times New Roman" w:hAnsi="Times New Roman"/>
          <w:sz w:val="18"/>
          <w:szCs w:val="18"/>
          <w:u w:val="single" w:color="auto"/>
          <w:color w:val="auto"/>
        </w:rPr>
        <w:t>Subsidiaries, Partnerships and Joint Ventures.</w:t>
      </w:r>
      <w:r>
        <w:rPr>
          <w:rFonts w:ascii="Times New Roman" w:cs="Times New Roman" w:eastAsia="Times New Roman" w:hAnsi="Times New Roman"/>
          <w:sz w:val="18"/>
          <w:szCs w:val="18"/>
          <w:color w:val="auto"/>
        </w:rPr>
        <w:t xml:space="preserve"> Each of the Loan Parties shall not own or create directly or indirectly any Subsidiaries other than (i) any Subsidiary which has joined this Agreement as a Borrower or Guarantor on the Closing Date; (ii) any Foreign Subsidiary; and (iii) any domestic Subsidiary formed after the Closing Date which joins this Agreement either as (A) a Borrower by delivering to the Administrative Agent a signed Borrower Joinder or (B) a Guarantor by delivering to the Administrative Agent a signed Guarantor Joinder, and in either case, such Subsidiary shall also deliver the documents in the forms described in Section 7.1 [First Loans and Letters of Credit] modified as appropriate. Each of the Loan Parties shall not become or agree to become a party to a Joint Venture.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8.2.10 </w:t>
      </w:r>
      <w:r>
        <w:rPr>
          <w:rFonts w:ascii="Times New Roman" w:cs="Times New Roman" w:eastAsia="Times New Roman" w:hAnsi="Times New Roman"/>
          <w:sz w:val="18"/>
          <w:szCs w:val="18"/>
          <w:u w:val="single" w:color="auto"/>
          <w:color w:val="auto"/>
        </w:rPr>
        <w:t>Continuation of or Change in Business.</w:t>
      </w:r>
      <w:r>
        <w:rPr>
          <w:rFonts w:ascii="Times New Roman" w:cs="Times New Roman" w:eastAsia="Times New Roman" w:hAnsi="Times New Roman"/>
          <w:sz w:val="18"/>
          <w:szCs w:val="18"/>
          <w:color w:val="auto"/>
        </w:rPr>
        <w:t xml:space="preserve"> Each of the Loan Parties shall not engage in any business other than as substantially as conducted and operated by such Loan Party during the present fiscal year and businesses reasonably related thereto, and such Loan Party shall not permit any material change in such business.</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8.2.11</w:t>
      </w:r>
      <w:r>
        <w:rPr>
          <w:sz w:val="20"/>
          <w:szCs w:val="20"/>
          <w:color w:val="auto"/>
        </w:rPr>
        <w:tab/>
      </w:r>
      <w:r>
        <w:rPr>
          <w:rFonts w:ascii="Times New Roman" w:cs="Times New Roman" w:eastAsia="Times New Roman" w:hAnsi="Times New Roman"/>
          <w:sz w:val="18"/>
          <w:szCs w:val="18"/>
          <w:u w:val="single" w:color="auto"/>
          <w:color w:val="auto"/>
        </w:rPr>
        <w:t xml:space="preserve">Fiscal Year. </w:t>
      </w:r>
      <w:r>
        <w:rPr>
          <w:rFonts w:ascii="Times New Roman" w:cs="Times New Roman" w:eastAsia="Times New Roman" w:hAnsi="Times New Roman"/>
          <w:sz w:val="18"/>
          <w:szCs w:val="18"/>
          <w:color w:val="auto"/>
        </w:rPr>
        <w:t>The Loan Parties shall not change its fiscal year from a 52/53 week year ending on or about September 30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8.2.12</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8.2.13 </w:t>
      </w:r>
      <w:r>
        <w:rPr>
          <w:rFonts w:ascii="Times New Roman" w:cs="Times New Roman" w:eastAsia="Times New Roman" w:hAnsi="Times New Roman"/>
          <w:sz w:val="18"/>
          <w:szCs w:val="18"/>
          <w:u w:val="single" w:color="auto"/>
          <w:color w:val="auto"/>
        </w:rPr>
        <w:t>Changes in Organizational Documents.</w:t>
      </w:r>
      <w:r>
        <w:rPr>
          <w:rFonts w:ascii="Times New Roman" w:cs="Times New Roman" w:eastAsia="Times New Roman" w:hAnsi="Times New Roman"/>
          <w:sz w:val="18"/>
          <w:szCs w:val="18"/>
          <w:color w:val="auto"/>
        </w:rPr>
        <w:t xml:space="preserve"> Each of the Loan Parties shall not amend in any respect its certificate of incorporation (including any provisions or resolutions relating to Capital Stock), by-laws, certificate of limited partnership, partnership agreement, certificate of formation, limited liability company agreement or other organizational documents if such change would be materially adverse to the Lenders, as determined by the Administrative Agent in its sole discretion, without obtaining the prior written consent of the Required Lenders.</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8.2.14</w:t>
      </w:r>
      <w:r>
        <w:rPr>
          <w:sz w:val="20"/>
          <w:szCs w:val="20"/>
          <w:color w:val="auto"/>
        </w:rPr>
        <w:tab/>
      </w:r>
      <w:r>
        <w:rPr>
          <w:rFonts w:ascii="Times New Roman" w:cs="Times New Roman" w:eastAsia="Times New Roman" w:hAnsi="Times New Roman"/>
          <w:sz w:val="18"/>
          <w:szCs w:val="18"/>
          <w:u w:val="single" w:color="auto"/>
          <w:color w:val="auto"/>
        </w:rPr>
        <w:t xml:space="preserve">Maximum Net Leverage Ratio. </w:t>
      </w:r>
      <w:r>
        <w:rPr>
          <w:rFonts w:ascii="Times New Roman" w:cs="Times New Roman" w:eastAsia="Times New Roman" w:hAnsi="Times New Roman"/>
          <w:sz w:val="18"/>
          <w:szCs w:val="18"/>
          <w:color w:val="auto"/>
        </w:rPr>
        <w:t>The Loan Parties shall not permit the Net Leverage Ratio to be greater than 3.00 to 1.00.</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8.2.15</w:t>
      </w:r>
      <w:r>
        <w:rPr>
          <w:sz w:val="20"/>
          <w:szCs w:val="20"/>
          <w:color w:val="auto"/>
        </w:rPr>
        <w:tab/>
      </w:r>
      <w:r>
        <w:rPr>
          <w:rFonts w:ascii="Times New Roman" w:cs="Times New Roman" w:eastAsia="Times New Roman" w:hAnsi="Times New Roman"/>
          <w:sz w:val="18"/>
          <w:szCs w:val="18"/>
          <w:u w:val="single" w:color="auto"/>
          <w:color w:val="auto"/>
        </w:rPr>
        <w:t xml:space="preserve">Minimum Interest Coverage Ratio. </w:t>
      </w:r>
      <w:r>
        <w:rPr>
          <w:rFonts w:ascii="Times New Roman" w:cs="Times New Roman" w:eastAsia="Times New Roman" w:hAnsi="Times New Roman"/>
          <w:sz w:val="18"/>
          <w:szCs w:val="18"/>
          <w:color w:val="auto"/>
        </w:rPr>
        <w:t>The Loan Parties shall not permit the Interest Coverage Ratio to be less than 3.50 to 1.00.</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8.2.16 </w:t>
      </w:r>
      <w:r>
        <w:rPr>
          <w:rFonts w:ascii="Times New Roman" w:cs="Times New Roman" w:eastAsia="Times New Roman" w:hAnsi="Times New Roman"/>
          <w:sz w:val="18"/>
          <w:szCs w:val="18"/>
          <w:u w:val="single" w:color="auto"/>
          <w:color w:val="auto"/>
        </w:rPr>
        <w:t>Negative Pledge.</w:t>
      </w:r>
      <w:r>
        <w:rPr>
          <w:rFonts w:ascii="Times New Roman" w:cs="Times New Roman" w:eastAsia="Times New Roman" w:hAnsi="Times New Roman"/>
          <w:sz w:val="18"/>
          <w:szCs w:val="18"/>
          <w:color w:val="auto"/>
        </w:rPr>
        <w:t xml:space="preserve"> No Loan Party shall (a) encumber, pledge, mortgage, grant a security interest in, assign, sell, lease or otherwise dispose of or transfer, whether by sale, merger, consolidation, liquidation, dissolution or otherwise, any of its property or revenues, whether now owned or hereafter acquired (except as otherwise expressly permitted under this Agreement or the other Loan Documents), nor (b) enter into or suffer to exist or become effective any agreement that prohibits or limits the ability of such Loan Party to create, incur, assume or suffer to exist any Lien upon any of its property or revenues, whether now owned or hereafter acquired, to secure the Obligations, other than, in each case (i) this Agreement and the other Loan Documents (ii) with respect to a Subsidiary imposed pursuant to an agreement that has been entered into in connection with a disposition of assets permitted under this Agreement of all or substantially all of the equity interests or assets of such Subsidiary, (iii) any agreements governing any purchase money Liens or capital lease obligations otherwise permitted hereby (in which case, any prohibition or limitation shall only be effective against the assets financed thereby), (iv) customary provisions restricting assignment of any licensing agreement (in which a Loan Party is the licensee) with respect to a contract entered into by a Loan Party in the ordinary course of business and (v) customary provisions restricting subletting, sublicensing or assignment of any intellectual property license or any lease governing any leasehold interests of a Loan Party.</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8.2.17 </w:t>
      </w:r>
      <w:r>
        <w:rPr>
          <w:rFonts w:ascii="Times New Roman" w:cs="Times New Roman" w:eastAsia="Times New Roman" w:hAnsi="Times New Roman"/>
          <w:sz w:val="18"/>
          <w:szCs w:val="18"/>
          <w:u w:val="single" w:color="auto"/>
          <w:color w:val="auto"/>
        </w:rPr>
        <w:t>Sanctions; International Trade, Anti-Money Laundering and other Anti-Corruption Laws</w:t>
      </w:r>
      <w:r>
        <w:rPr>
          <w:rFonts w:ascii="Times New Roman" w:cs="Times New Roman" w:eastAsia="Times New Roman" w:hAnsi="Times New Roman"/>
          <w:sz w:val="18"/>
          <w:szCs w:val="18"/>
          <w:color w:val="auto"/>
        </w:rPr>
        <w:t>. Each Loan Party will not, and will not permit any of its Subsidiaries to do any of the following, nor permit any of such Loan Party’s directors, officers or employees, or, to such Loan Party’s knowledge, any agents or affiliates acting on its behalf in connection with this Agreement, to: (a) become a Sanctioned Person; (b) directly or indirectly (through a third party or otherwise), provide, use, or make available the proceeds of any Loan hereunder (i) to fund or facilitate any activities or business of, with, or for the benefit of any Sanctioned Person, (ii) to fund or facilitate any activities or business of or in any Sanctioned Jurisdiction, or (iii) to act in any manner in violation of, or that could result in a violation by any Person of, any International Trade Laws, Sanctions, Anti-Money Laundering Laws or Anti-Corruption Laws; (c) in the execution, delivery or performance of this Agreement, or any activities, transactions, services, or any collateral or security interest contemplated by this Agreement, violate Sanctions; (d) directly or indirectly, repay in whole or in part any Loan hereunder with proceeds derived from investments in or transactions with any Sanctioned Jurisdiction or Sanctioned Person or otherwise in violation of Sanctions; or (e) do business in or with, or derive any of its income, directly or indirectly, from any Sanctioned Jurisdiction or Sanctioned Person.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 xml:space="preserve">Reporting Requirements. </w:t>
      </w:r>
      <w:r>
        <w:rPr>
          <w:rFonts w:ascii="Times New Roman" w:cs="Times New Roman" w:eastAsia="Times New Roman" w:hAnsi="Times New Roman"/>
          <w:sz w:val="18"/>
          <w:szCs w:val="18"/>
          <w:color w:val="auto"/>
        </w:rPr>
        <w:t>The Loan Parties will furnish or cause to be furnished to the Administrative Agent and each of the Lenders: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As soon as available and in any event within forty-five (45) calendar days after the end of each of the first three fiscal quarters in each fiscal year, the financial statements of the Loan Parties and their Subsidiaries, consisting of a consolidated balance sheet as of the end of such fiscal quarter and related consolidated statements of income, retained earnings and cash flows for the fiscal quarter then ended and the fiscal year through that date, all in reasonable detail and certified (subject to normal year-end audit adjustments) by the Chief Executive Officer, President, Chief Financial Officer, Director of Global Tax and Treasury or Assistant Treasurer of the Company as having been prepared in accordance with GAAP, consistently applied, and setting forth in comparative form the respective financial statements for the corresponding date and period in the previous fiscal year.</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As soon as available and in any event within ninety (90) days after the end of each fiscal year of the Loan Parties, the financial statements of the Loan Parties and their Subsidiaries consisting of a consolidated balance sheet as of the end of such fiscal year, and related consolidated statements of income, retained earnings, stockholders' equity and cash flows for the fiscal year then ended, all in reasonable detail and setting forth in comparative form the financial statements as of the end of and for the preceding fiscal year, and certified by an independent certified public accountants of nationally recognized standing reasonably satisfactory to the Administrative Agent. The certificate or report of accountants shall be free of qualifications as to going concern or scope of audit. The Loan Parties shall deliver with such financial statements and certification by their accountants a letter of such accountants to the Administrative Agent and the Lenders substantially to the effect that, based upon their ordinary and customary examination of the affairs of the Loan Parties, performed in connection with the preparation of such consolidated financial statements, and in accordance with GAAP, they are not aware of the existence of any condition or event which constitutes an Event of Default or Potential Default or, if they are aware of such condition or event, stating the nature thereof.</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8.3.3 </w:t>
      </w:r>
      <w:r>
        <w:rPr>
          <w:rFonts w:ascii="Times New Roman" w:cs="Times New Roman" w:eastAsia="Times New Roman" w:hAnsi="Times New Roman"/>
          <w:sz w:val="18"/>
          <w:szCs w:val="18"/>
          <w:u w:val="single" w:color="auto"/>
          <w:color w:val="auto"/>
        </w:rPr>
        <w:t>Certificate of Borrowers.</w:t>
      </w:r>
      <w:r>
        <w:rPr>
          <w:rFonts w:ascii="Times New Roman" w:cs="Times New Roman" w:eastAsia="Times New Roman" w:hAnsi="Times New Roman"/>
          <w:sz w:val="18"/>
          <w:szCs w:val="18"/>
          <w:color w:val="auto"/>
        </w:rPr>
        <w:t xml:space="preserve"> Concurrently with the financial statements of the Borrowers furnished to the Administrative Agent and to the Lenders pursuant to Sections 8.3.1 [Quarterly Financial Statements] and 8.3.2 [Annual Financial Statements], a certificate (each a “</w:t>
      </w: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of the Borrowers signed by the Chief Executive Officer, President, Chief Financial Officer, Director of Global Tax and Treasury, or Assistant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Treasurer of the Borrower Agent, in the form of </w:t>
      </w:r>
      <w:r>
        <w:rPr>
          <w:rFonts w:ascii="Times New Roman" w:cs="Times New Roman" w:eastAsia="Times New Roman" w:hAnsi="Times New Roman"/>
          <w:sz w:val="18"/>
          <w:szCs w:val="18"/>
          <w:u w:val="single" w:color="auto"/>
          <w:color w:val="auto"/>
        </w:rPr>
        <w:t>Exhibit 8.3.3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8.3.4</w:t>
      </w:r>
      <w:r>
        <w:rPr>
          <w:sz w:val="20"/>
          <w:szCs w:val="20"/>
          <w:color w:val="auto"/>
        </w:rPr>
        <w:tab/>
      </w:r>
      <w:r>
        <w:rPr>
          <w:rFonts w:ascii="Times New Roman" w:cs="Times New Roman" w:eastAsia="Times New Roman" w:hAnsi="Times New Roman"/>
          <w:sz w:val="17"/>
          <w:szCs w:val="17"/>
          <w:u w:val="single" w:color="auto"/>
          <w:color w:val="auto"/>
        </w:rPr>
        <w:t>Notices.</w:t>
      </w:r>
    </w:p>
    <w:p>
      <w:pPr>
        <w:spacing w:after="0" w:line="225"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8.3.4.1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Promptly after any officer of any Loan Party has learned of the occurrence of an Event of Default or Potential Default, a certificate signed by an Authorized Officer setting forth the details of such Event of Default or Potential Default and the action which such Loan Party proposes to take with respect thereto.</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8.3.4.2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Promptly after the commencement thereof, notice of all material actions, suits, proceedings or investigations before or by any Official Body or any other Person against any Loan Party which involve a claim or series of claims in excess of $5,000,000 or which if adversely determined would constitute a Material Adverse Change.</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8.3.4.3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Within five (5) Business Days of any material amendment to the organizational documents of any Loan Party, a copy of the organizational documents as so amended.</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8.3.4.4 </w:t>
      </w:r>
      <w:r>
        <w:rPr>
          <w:rFonts w:ascii="Times New Roman" w:cs="Times New Roman" w:eastAsia="Times New Roman" w:hAnsi="Times New Roman"/>
          <w:sz w:val="18"/>
          <w:szCs w:val="18"/>
          <w:u w:val="single" w:color="auto"/>
          <w:color w:val="auto"/>
        </w:rPr>
        <w:t>Erroneous Financial Information</w:t>
      </w:r>
      <w:r>
        <w:rPr>
          <w:rFonts w:ascii="Times New Roman" w:cs="Times New Roman" w:eastAsia="Times New Roman" w:hAnsi="Times New Roman"/>
          <w:sz w:val="18"/>
          <w:szCs w:val="18"/>
          <w:color w:val="auto"/>
        </w:rPr>
        <w:t>. Immediately in the event that the Borrowers or any of their accountants conclude or advise that any previously issued financial statement, audit report or interim review should no longer be relied upon or that disclosure should be made or action should be taken to prevent future reliance, notice in writing setting forth the details thereof and the action which the Borrowers propose to take with respect thereto.</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8.3.4.5 </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Immediately upon the occurrence of any ERISA Event, notice in writing setting forth the details thereof and the action which the Borrowers propose to take with respect thereto.</w:t>
      </w:r>
    </w:p>
    <w:p>
      <w:pPr>
        <w:spacing w:after="0" w:line="162" w:lineRule="exact"/>
        <w:rPr>
          <w:sz w:val="20"/>
          <w:szCs w:val="20"/>
          <w:color w:val="auto"/>
        </w:rPr>
      </w:pPr>
    </w:p>
    <w:p>
      <w:pPr>
        <w:ind w:left="1960"/>
        <w:spacing w:after="0"/>
        <w:tabs>
          <w:tab w:leader="none" w:pos="2880" w:val="left"/>
        </w:tabs>
        <w:rPr>
          <w:sz w:val="20"/>
          <w:szCs w:val="20"/>
          <w:color w:val="auto"/>
        </w:rPr>
      </w:pPr>
      <w:r>
        <w:rPr>
          <w:rFonts w:ascii="Times New Roman" w:cs="Times New Roman" w:eastAsia="Times New Roman" w:hAnsi="Times New Roman"/>
          <w:sz w:val="18"/>
          <w:szCs w:val="18"/>
          <w:color w:val="auto"/>
        </w:rPr>
        <w:t>8.3.4.6</w:t>
      </w:r>
      <w:r>
        <w:rPr>
          <w:sz w:val="20"/>
          <w:szCs w:val="20"/>
          <w:color w:val="auto"/>
        </w:rPr>
        <w:tab/>
      </w:r>
      <w:r>
        <w:rPr>
          <w:rFonts w:ascii="Times New Roman" w:cs="Times New Roman" w:eastAsia="Times New Roman" w:hAnsi="Times New Roman"/>
          <w:sz w:val="18"/>
          <w:szCs w:val="18"/>
          <w:u w:val="single" w:color="auto"/>
          <w:color w:val="auto"/>
        </w:rPr>
        <w:t>Other Reports</w:t>
      </w:r>
      <w:r>
        <w:rPr>
          <w:rFonts w:ascii="Times New Roman" w:cs="Times New Roman" w:eastAsia="Times New Roman" w:hAnsi="Times New Roman"/>
          <w:sz w:val="18"/>
          <w:szCs w:val="18"/>
          <w:color w:val="auto"/>
        </w:rPr>
        <w:t>. Promptly upon their becoming available to the Borrowers:</w:t>
      </w:r>
    </w:p>
    <w:p>
      <w:pPr>
        <w:spacing w:after="0" w:line="225" w:lineRule="exact"/>
        <w:rPr>
          <w:sz w:val="20"/>
          <w:szCs w:val="20"/>
          <w:color w:val="auto"/>
        </w:rPr>
      </w:pPr>
    </w:p>
    <w:p>
      <w:pPr>
        <w:ind w:firstLine="1952"/>
        <w:spacing w:after="0" w:line="282" w:lineRule="auto"/>
        <w:tabs>
          <w:tab w:leader="none" w:pos="269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Budget</w:t>
      </w:r>
      <w:r>
        <w:rPr>
          <w:rFonts w:ascii="Times New Roman" w:cs="Times New Roman" w:eastAsia="Times New Roman" w:hAnsi="Times New Roman"/>
          <w:sz w:val="18"/>
          <w:szCs w:val="18"/>
          <w:color w:val="auto"/>
        </w:rPr>
        <w:t>. The annual budget and any forecasts or projections of the Borrowers, to be supplied not later than forty-five (45) days after the commencement of the fiscal year to which any of the foregoing may be applicable,</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Letters</w:t>
      </w:r>
      <w:r>
        <w:rPr>
          <w:rFonts w:ascii="Times New Roman" w:cs="Times New Roman" w:eastAsia="Times New Roman" w:hAnsi="Times New Roman"/>
          <w:sz w:val="18"/>
          <w:szCs w:val="18"/>
          <w:color w:val="auto"/>
        </w:rPr>
        <w:t>. Any reports including management letters submitted to the Borrowers by independent accountants in connection with any annual, interim or special audit,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49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Shareholder Communications</w:t>
      </w:r>
      <w:r>
        <w:rPr>
          <w:rFonts w:ascii="Times New Roman" w:cs="Times New Roman" w:eastAsia="Times New Roman" w:hAnsi="Times New Roman"/>
          <w:sz w:val="18"/>
          <w:szCs w:val="18"/>
          <w:color w:val="auto"/>
        </w:rPr>
        <w:t>. Reports, including Forms 10-K, 10-Q and 8-K, registration statements and prospectuses and other shareholder communications, filed by the Borrowers with the Securities and Exchange Commission, and</w:t>
      </w:r>
    </w:p>
    <w:p>
      <w:pPr>
        <w:spacing w:after="0" w:line="161"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Such other reports and information as any of the Lenders may from time to time reasonably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8.3.5 </w:t>
      </w:r>
      <w:r>
        <w:rPr>
          <w:rFonts w:ascii="Times New Roman" w:cs="Times New Roman" w:eastAsia="Times New Roman" w:hAnsi="Times New Roman"/>
          <w:sz w:val="18"/>
          <w:szCs w:val="18"/>
          <w:u w:val="single" w:color="auto"/>
          <w:color w:val="auto"/>
        </w:rPr>
        <w:t>Borrowing Base Certificates; Schedules of Accounts, Inventory and Payables.</w:t>
      </w:r>
      <w:r>
        <w:rPr>
          <w:rFonts w:ascii="Times New Roman" w:cs="Times New Roman" w:eastAsia="Times New Roman" w:hAnsi="Times New Roman"/>
          <w:sz w:val="18"/>
          <w:szCs w:val="18"/>
          <w:color w:val="auto"/>
        </w:rPr>
        <w:t xml:space="preserve"> Upon the occurrence and during the continuance of a Springing Borrowing Base Trigger Event, the Borrowers shall furnish to the Administrative Agent and each of the Lenders by the last day of each month, a borrowing base certificate as of the last day of the immediately preceding month in a form reasonably acceptable to the Administrative Agent, appropriately completed, executed and delivered by an Authorized Officer, together with a Schedule of Accounts, Schedule of Payables and Schedule of Inventory, in each case, as of the end of the immediately preceding month.</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8.3.6 </w:t>
      </w:r>
      <w:r>
        <w:rPr>
          <w:rFonts w:ascii="Times New Roman" w:cs="Times New Roman" w:eastAsia="Times New Roman" w:hAnsi="Times New Roman"/>
          <w:sz w:val="18"/>
          <w:szCs w:val="18"/>
          <w:u w:val="single" w:color="auto"/>
          <w:color w:val="auto"/>
        </w:rPr>
        <w:t>Field Exams; Appraisals.</w:t>
      </w:r>
      <w:r>
        <w:rPr>
          <w:rFonts w:ascii="Times New Roman" w:cs="Times New Roman" w:eastAsia="Times New Roman" w:hAnsi="Times New Roman"/>
          <w:sz w:val="18"/>
          <w:szCs w:val="18"/>
          <w:color w:val="auto"/>
        </w:rPr>
        <w:t xml:space="preserve"> If requested by the Administrative Agent at any time in its Permitted Discretion, the Borrowers shall pay for the costs of the Administrative Agent to conduct a field exam and obtain an appraisal covering the Collateral; provided, however, that the Borrowers shall not be responsible for the expenses of more than one field exam and appraisal of the Administrative Agent and the Lenders collectively in any fiscal year unless an Event of Default has occurred and is continuing or unless a Springing Borrowing Base Trigger Event has occurred and is continuing. Upon the occurrence and during the continuance of a Springing Borrowing Base Trigger Event, the Borrowers shall pay for the costs of the Administrative Agent to conduct an additional field exam and obtain an additional appraisal covering the Collateral (which, for purposes of clarity, means that Borrowers may be required to pay for up to two field exams and appraisals during any fiscal year in which a Springing Borrower Base Trigger Event occurs).</w:t>
      </w:r>
    </w:p>
    <w:p>
      <w:pPr>
        <w:spacing w:after="0" w:line="200" w:lineRule="exact"/>
        <w:rPr>
          <w:sz w:val="20"/>
          <w:szCs w:val="20"/>
          <w:color w:val="auto"/>
        </w:rPr>
      </w:pP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8.3.7 </w:t>
      </w:r>
      <w:r>
        <w:rPr>
          <w:rFonts w:ascii="Times New Roman" w:cs="Times New Roman" w:eastAsia="Times New Roman" w:hAnsi="Times New Roman"/>
          <w:sz w:val="18"/>
          <w:szCs w:val="18"/>
          <w:u w:val="single" w:color="auto"/>
          <w:color w:val="auto"/>
        </w:rPr>
        <w:t>Posting Information.</w:t>
      </w:r>
      <w:r>
        <w:rPr>
          <w:rFonts w:ascii="Times New Roman" w:cs="Times New Roman" w:eastAsia="Times New Roman" w:hAnsi="Times New Roman"/>
          <w:sz w:val="18"/>
          <w:szCs w:val="18"/>
          <w:color w:val="auto"/>
        </w:rPr>
        <w:t xml:space="preserve"> Documents required to be delivered pursuant to Sections 8.3.1, 8.3.2 and 8.3.4.6(iii) (to the extent any such documents are included in materials otherwise filed with the SEC) may be delivered electronically and if so delivered, shall be deemed to have been delivered on the date (a) on which the Borrowers post such documents or provide a link thereto on the Borrowers’ website on the internet; or (b) on which such documents are posted on the Borrowers’ behalf on an intranet website, if any, to which each Lender and the Administrative Agent have access (whether a commercial, third-party website or whether sponsored by the Administrative Agent); provided that the Borrower Agent shall notify the Administrative Agent (by e-mail transmission) of the posting of any such documents and provided further that the Borrower Agent shall e-mail a copy of any such documents posted to the Administrative Agent.</w:t>
      </w:r>
    </w:p>
    <w:p>
      <w:pPr>
        <w:spacing w:after="0" w:line="189" w:lineRule="exact"/>
        <w:rPr>
          <w:sz w:val="20"/>
          <w:szCs w:val="20"/>
          <w:color w:val="auto"/>
        </w:rPr>
      </w:pPr>
    </w:p>
    <w:p>
      <w:pPr>
        <w:ind w:left="5540" w:hanging="626"/>
        <w:spacing w:after="0"/>
        <w:tabs>
          <w:tab w:leader="none" w:pos="5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An Event of Default shall mean the occurrence or existence of any one or more of the following events or conditions (whatever the reason therefor and whether voluntary, involuntary or effected by operation of Law):</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Payments Under Loan Documents.</w:t>
      </w:r>
      <w:r>
        <w:rPr>
          <w:rFonts w:ascii="Times New Roman" w:cs="Times New Roman" w:eastAsia="Times New Roman" w:hAnsi="Times New Roman"/>
          <w:sz w:val="18"/>
          <w:szCs w:val="18"/>
          <w:color w:val="auto"/>
        </w:rPr>
        <w:t xml:space="preserve"> The Borrowers shall fail to pay (a) any principal of any Loan (including scheduled installments, mandatory prepayments or the payment due at maturity), Reimbursement Obligation or Letter of Credit or Obligation on the date on which such principal becomes due in accordance with the terms hereof or (b) any interest on any Loan, Reimbursement Obligation or Letter of Credit Obligation or any other amount owing hereunder or under the other Loan Documents within three (3) Business Days of the date on which such interest or other amount becomes due in accordance with the terms hereof or thereof.</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Breach of Warranty.</w:t>
      </w:r>
      <w:r>
        <w:rPr>
          <w:rFonts w:ascii="Times New Roman" w:cs="Times New Roman" w:eastAsia="Times New Roman" w:hAnsi="Times New Roman"/>
          <w:sz w:val="18"/>
          <w:szCs w:val="18"/>
          <w:color w:val="auto"/>
        </w:rPr>
        <w:t xml:space="preserve"> Any representation or warranty made at any time by any of the Loan Parties herein or by any of the Loan Parties in any other Loan Document, or in any certificate, other instrument or statement furnished pursuant to the provisions hereof or thereof, shall prove to have been false or misleading in any material respect as of the time it was made or furnished.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Sanctions; International Trade, Anti-Money Laundering and Anti-Corruption Laws.</w:t>
      </w:r>
      <w:r>
        <w:rPr>
          <w:rFonts w:ascii="Times New Roman" w:cs="Times New Roman" w:eastAsia="Times New Roman" w:hAnsi="Times New Roman"/>
          <w:sz w:val="18"/>
          <w:szCs w:val="18"/>
          <w:color w:val="auto"/>
        </w:rPr>
        <w:t xml:space="preserve"> Any representation or warranty contained in Section 6.1.16 [Sanctions; International Trade, Anti-Money Laundering and Anti-Corruption Laws] is or becomes false or misleading at any time.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Breach of Negative Covenants, Visitation Rights or Anti-Corruption Laws, Anti-Money Laundering Laws and International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Trade Laws.</w:t>
      </w:r>
      <w:r>
        <w:rPr>
          <w:rFonts w:ascii="Times New Roman" w:cs="Times New Roman" w:eastAsia="Times New Roman" w:hAnsi="Times New Roman"/>
          <w:sz w:val="18"/>
          <w:szCs w:val="18"/>
          <w:color w:val="auto"/>
        </w:rPr>
        <w:t xml:space="preserve"> Any of the Loan Parties shall default in the observance or performance of any covenant contained in Section 8.1.5 [Visitation Rights], Section 8.1.9 [Sanctions; International Trade, Anti-Money Laundering and Anti-Corruption Laws] or Section 8.2 [Negative Covenants].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Breach of Other Covenants.</w:t>
      </w:r>
      <w:r>
        <w:rPr>
          <w:rFonts w:ascii="Times New Roman" w:cs="Times New Roman" w:eastAsia="Times New Roman" w:hAnsi="Times New Roman"/>
          <w:sz w:val="18"/>
          <w:szCs w:val="18"/>
          <w:color w:val="auto"/>
        </w:rPr>
        <w:t xml:space="preserve"> Any of the Loan Parties shall default in the observance or performance of any other covenant, condition or provision hereof or of any other Loan Document and such default shall continue unremedied for a period of twenty (20) Business Days.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Defaults in Other Agreements or Indebtedness.</w:t>
      </w:r>
      <w:r>
        <w:rPr>
          <w:rFonts w:ascii="Times New Roman" w:cs="Times New Roman" w:eastAsia="Times New Roman" w:hAnsi="Times New Roman"/>
          <w:sz w:val="18"/>
          <w:szCs w:val="18"/>
          <w:color w:val="auto"/>
        </w:rPr>
        <w:t xml:space="preserve"> A default or event of default shall occur at any time under the terms of any agreement involving borrowed money or the extension of credit or any other Indebtedness under which any Loan Party may be obligated as a borrower or guarantor in excess of $5,000,000 in the aggregate, and in any case, such breach, default or event of default consists of the failure to pay (beyond any period of grace permitted with respect thereto, whether waived or not) any Indebtedness when due (whether at stated maturity, by acceleration or otherwise) or if such breach or default permits or causes the acceleration of any Indebtedness (whether or not such right shall have been waived) or the termination of any commitment to lend.</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9.1.7 </w:t>
      </w:r>
      <w:r>
        <w:rPr>
          <w:rFonts w:ascii="Times New Roman" w:cs="Times New Roman" w:eastAsia="Times New Roman" w:hAnsi="Times New Roman"/>
          <w:sz w:val="18"/>
          <w:szCs w:val="18"/>
          <w:u w:val="single" w:color="auto"/>
          <w:color w:val="auto"/>
        </w:rPr>
        <w:t>Final Judgments or Orders.</w:t>
      </w:r>
      <w:r>
        <w:rPr>
          <w:rFonts w:ascii="Times New Roman" w:cs="Times New Roman" w:eastAsia="Times New Roman" w:hAnsi="Times New Roman"/>
          <w:sz w:val="18"/>
          <w:szCs w:val="18"/>
          <w:color w:val="auto"/>
        </w:rPr>
        <w:t xml:space="preserve"> Any final judgments or orders for the payment of money in excess of $5,000,000 in the aggregate shall be entered against any Loan Party by a court having jurisdiction in the premises, which judgment is not discharged, vacated, bonded or stayed pending appeal within a period of sixty (60) days from the date of entry.</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9.1.8 </w:t>
      </w:r>
      <w:r>
        <w:rPr>
          <w:rFonts w:ascii="Times New Roman" w:cs="Times New Roman" w:eastAsia="Times New Roman" w:hAnsi="Times New Roman"/>
          <w:sz w:val="18"/>
          <w:szCs w:val="18"/>
          <w:u w:val="single" w:color="auto"/>
          <w:color w:val="auto"/>
        </w:rPr>
        <w:t>Loan Document Unenforceable.</w:t>
      </w:r>
      <w:r>
        <w:rPr>
          <w:rFonts w:ascii="Times New Roman" w:cs="Times New Roman" w:eastAsia="Times New Roman" w:hAnsi="Times New Roman"/>
          <w:sz w:val="18"/>
          <w:szCs w:val="18"/>
          <w:color w:val="auto"/>
        </w:rPr>
        <w:t xml:space="preserve"> Any of the Loan Documents shall cease to be legal, valid and binding agreements enforceable against the party executing the same or such party's successors and assigns (as permitted under the Loan Documents) in accordance with the respective terms thereof (or any Loan Party shall challenge or contest the validity of such Loan Document) or shall in any way be terminated (except in accordance with its terms) or become or be declared ineffective or inoperative or cease to give or provide the respective Liens, security interests, rights, titles, interests, remedies, powers or privileges intended to be created thereby.</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9.1.9 </w:t>
      </w:r>
      <w:r>
        <w:rPr>
          <w:rFonts w:ascii="Times New Roman" w:cs="Times New Roman" w:eastAsia="Times New Roman" w:hAnsi="Times New Roman"/>
          <w:sz w:val="18"/>
          <w:szCs w:val="18"/>
          <w:u w:val="single" w:color="auto"/>
          <w:color w:val="auto"/>
        </w:rPr>
        <w:t>Uninsured Losses; Proceedings Against Assets.</w:t>
      </w:r>
      <w:r>
        <w:rPr>
          <w:rFonts w:ascii="Times New Roman" w:cs="Times New Roman" w:eastAsia="Times New Roman" w:hAnsi="Times New Roman"/>
          <w:sz w:val="18"/>
          <w:szCs w:val="18"/>
          <w:color w:val="auto"/>
        </w:rPr>
        <w:t xml:space="preserve"> There shall occur any material uninsured damage to or loss, theft or destruction of any of the Loan Parties’ personal or real property in excess of $5,000,000 or the Loan Parties’ personal or real property or any other of the Loan Parties' assets are attached, seized, levied upon or subjected to a writ or distress warrant; or such come within the possession of any receiver, trustee, custodian or assignee for the benefit of creditors and the same is not cured within sixty (60) days thereafter.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9.1.10 </w:t>
      </w:r>
      <w:r>
        <w:rPr>
          <w:rFonts w:ascii="Times New Roman" w:cs="Times New Roman" w:eastAsia="Times New Roman" w:hAnsi="Times New Roman"/>
          <w:sz w:val="18"/>
          <w:szCs w:val="18"/>
          <w:u w:val="single" w:color="auto"/>
          <w:color w:val="auto"/>
        </w:rPr>
        <w:t>Events Relating to Pension Plans and Multiemployer Plans.</w:t>
      </w:r>
      <w:r>
        <w:rPr>
          <w:rFonts w:ascii="Times New Roman" w:cs="Times New Roman" w:eastAsia="Times New Roman" w:hAnsi="Times New Roman"/>
          <w:sz w:val="18"/>
          <w:szCs w:val="18"/>
          <w:color w:val="auto"/>
        </w:rPr>
        <w:t xml:space="preserve"> An ERISA Event occurs with respect to a Pension Plan or Multiemployer Plan which has resulted or could reasonably be expected to result in liability of any Borrower or any member of the ERISA Group under Title IV of ERISA to the Pension Plan, Multiemployer Plan or the PBGC in an aggregate amount in excess of $5,000,000, or any Borrower or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is in excess of $5,000,000.</w:t>
      </w:r>
    </w:p>
    <w:p>
      <w:pPr>
        <w:spacing w:after="0" w:line="183"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color w:val="auto"/>
        </w:rPr>
        <w:t>9.1.11</w:t>
      </w:r>
      <w:r>
        <w:rPr>
          <w:sz w:val="20"/>
          <w:szCs w:val="20"/>
          <w:color w:val="auto"/>
        </w:rPr>
        <w:tab/>
      </w:r>
      <w:r>
        <w:rPr>
          <w:rFonts w:ascii="Times New Roman" w:cs="Times New Roman" w:eastAsia="Times New Roman" w:hAnsi="Times New Roman"/>
          <w:sz w:val="18"/>
          <w:szCs w:val="18"/>
          <w:u w:val="single" w:color="auto"/>
          <w:color w:val="auto"/>
        </w:rPr>
        <w:t xml:space="preserve">Change of Control. </w:t>
      </w:r>
      <w:r>
        <w:rPr>
          <w:rFonts w:ascii="Times New Roman" w:cs="Times New Roman" w:eastAsia="Times New Roman" w:hAnsi="Times New Roman"/>
          <w:sz w:val="18"/>
          <w:szCs w:val="18"/>
          <w:color w:val="auto"/>
        </w:rPr>
        <w:t>A Change of Control shall occur.</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9.1.12 </w:t>
      </w:r>
      <w:r>
        <w:rPr>
          <w:rFonts w:ascii="Times New Roman" w:cs="Times New Roman" w:eastAsia="Times New Roman" w:hAnsi="Times New Roman"/>
          <w:sz w:val="18"/>
          <w:szCs w:val="18"/>
          <w:u w:val="single" w:color="auto"/>
          <w:color w:val="auto"/>
        </w:rPr>
        <w:t>Relief Proceedings.</w:t>
      </w:r>
      <w:r>
        <w:rPr>
          <w:rFonts w:ascii="Times New Roman" w:cs="Times New Roman" w:eastAsia="Times New Roman" w:hAnsi="Times New Roman"/>
          <w:sz w:val="18"/>
          <w:szCs w:val="18"/>
          <w:color w:val="auto"/>
        </w:rPr>
        <w:t xml:space="preserve"> A Relief Proceeding shall have been instituted against any Loan Party and such Relief Proceeding shall remain undismissed or unstayed and in effect for a period of sixty (60) consecutive days or such court shall enter a decree or order granting any of the relief sought in such Relief Proceeding, (ii) any Loan Party institutes, or takes any action in furtherance of, a Relief Proceeding, or (iii) any Loan Party ceases to be Solvent or admits in writing its inability to pay its debts as they mature.</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Consequences of Event of Default.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9.2.1 </w:t>
      </w:r>
      <w:r>
        <w:rPr>
          <w:rFonts w:ascii="Times New Roman" w:cs="Times New Roman" w:eastAsia="Times New Roman" w:hAnsi="Times New Roman"/>
          <w:sz w:val="18"/>
          <w:szCs w:val="18"/>
          <w:u w:val="single" w:color="auto"/>
          <w:color w:val="auto"/>
        </w:rPr>
        <w:t>Events of Default Generally.</w:t>
      </w:r>
      <w:r>
        <w:rPr>
          <w:rFonts w:ascii="Times New Roman" w:cs="Times New Roman" w:eastAsia="Times New Roman" w:hAnsi="Times New Roman"/>
          <w:sz w:val="18"/>
          <w:szCs w:val="18"/>
          <w:color w:val="auto"/>
        </w:rPr>
        <w:t xml:space="preserve"> If any Event of Default specified under Section 9.1 [Events of Default]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take any or all of the following actions: (i) declare the commitment of each Lender to make Loans and any obligation of the Issuing Lender to issue, amend or extend Letters of Credit to be terminated, whereupon such commitments and obligation shall be terminated; (ii)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 (iii) require the Borrowers to, and the Borrowers shall thereupon, deposit in a non-interest-bearing account with the Administrative Agent, as Cash Collateral for its Obligations under the Loan Documents, an amount equal to 105% of all Letter of Credit Obligations, and the Borrowers hereby pledge to the Administrative Agent and the Lenders, and grants to the Administrative Agent and the Lenders a security interest in, all such cash as security for such Obligations; and (iv) exercise on behalf of itself, the Lenders and the Issuing Lender all rights and remedies available to it, the Lenders and the Issuing Lender under the Loan Documents.</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9.2.2 </w:t>
      </w:r>
      <w:r>
        <w:rPr>
          <w:rFonts w:ascii="Times New Roman" w:cs="Times New Roman" w:eastAsia="Times New Roman" w:hAnsi="Times New Roman"/>
          <w:sz w:val="18"/>
          <w:szCs w:val="18"/>
          <w:u w:val="single" w:color="auto"/>
          <w:color w:val="auto"/>
        </w:rPr>
        <w:t>Bankruptcy, Insolvency or Reorganization Proceedings.</w:t>
      </w:r>
      <w:r>
        <w:rPr>
          <w:rFonts w:ascii="Times New Roman" w:cs="Times New Roman" w:eastAsia="Times New Roman" w:hAnsi="Times New Roman"/>
          <w:sz w:val="18"/>
          <w:szCs w:val="18"/>
          <w:color w:val="auto"/>
        </w:rPr>
        <w:t xml:space="preserve"> If an Event of Default specified under Section 9.1.12 [Relief Proceedings] shall occur, or upon the occurrence of an actual or deemed entry of an order for relief with respect to any Borrower under the Bankruptcy Code of the United States, the obligation of each Lender to make Loans and any obligation of the Issuing Lender to issue, amend or extend any Letter of Credit shall automatically terminate, the unpaid principal amount of all outstanding Loans and all interest accrued thereon, any unpaid fees and all other Indebtedness of the Borrowers to the Lenders hereunder and thereunder shall be immediately due and payable, without presentment, demand, protest or notice of any kind, all of which are hereby expressly waived, and the obligation of the Borrowers to provide Cash Collateral as specified in clause (iii) of Section 9.2.1 above shall automatically become effective, in each case without further act of the Administrative Agent or any Lender.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9.2.3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If an Event of Default shall have occurred and be continuing, each Lender, the Issuing Lender, and each of their respective Affiliates and any participant of such Lender or Affiliate which has agreed in writing to be bound by the provisions of Section 5.3 [Sharing of Payments by Lenders]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the Borrowers or such Loan Party may be contingent or unmatured or are owed to a branch or office of such Lender or the Issuing Lender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2.10 [Defaulting Lenders] and, pending such payment, shall be segregated by such Defaulting Lender from its other funds and deemed held in trust for the benefit of the Administrative Agent, the Issuance Lenders, and the Lenders, and (y) the Defaulting Lender shall provide promptly to the Administrative Agent a statement describing in reasonable detail the Obligations owing to such Defaulting Lender as to which it exercised such right of setoff The rights of each Lender, the Issuing Lender and their respective Affiliates and participants under this Section are in addition to other rights and remedies (including other rights of setoff) that such Lender, the Issuing Lender or their respective Affiliates and participants may have. Each Lender and the Issuing Lender agrees to notify the Borrowers and the Administrative Agent promptly after any such setoff and application; provided that the failure to give such notice shall not affect the validity of such setoff and application.</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9.2.4 </w:t>
      </w:r>
      <w:r>
        <w:rPr>
          <w:rFonts w:ascii="Times New Roman" w:cs="Times New Roman" w:eastAsia="Times New Roman" w:hAnsi="Times New Roman"/>
          <w:sz w:val="18"/>
          <w:szCs w:val="18"/>
          <w:u w:val="single" w:color="auto"/>
          <w:color w:val="auto"/>
        </w:rPr>
        <w:t>Enforcement of Rights and Remedies.</w:t>
      </w:r>
      <w:r>
        <w:rPr>
          <w:rFonts w:ascii="Times New Roman" w:cs="Times New Roman" w:eastAsia="Times New Roman" w:hAnsi="Times New Roman"/>
          <w:sz w:val="18"/>
          <w:szCs w:val="18"/>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this Section 9.2 for the benefit of all the Lenders and the Issuing Lender and the other Secured Parties; provided that the foregoing shall not prohibit (a) the Administrative Agent from exercising on its own behalf the rights and remedies that inure to its benefit (solely in its capacity as Administrative Agent) hereunder and under the other Loan Documents, (b) the Issuing Lender or the Swing Loan Lender from exercising the rights and remedies that inure to its benefit (solely in its capacity as the Issuing Lender or Swing Loan Lender, as the case may be) hereunder and under the other Loan Documents, (c) any Lender from exercising setoff rights in accordance with Section 9.2.3 (subject to the terms of Section 5.3 [Sharing of Payments by Lenders]), or (d) any Lender from filing proofs of claim or appearing and filing pleadings on its own behalf during the pendency of a proceeding relative to any Loan Party under any Insolvency Proceeding; and provided, further, that if at any time there is no Person acting as Administrative Agent hereunder and under the other Loan Documents, then (i) the Required Lenders shall have the rights otherwise ascribed to the Administrative Agent pursuant to this Section 9.2.4, and (ii) in addition to the matters set forth in clauses (b), (c) and (d) of the preceding proviso and subject to Section 5.3 [Sharing of Payments by Lenders]), any Lender may, with the consent of the Required Lenders, enforce any rights and remedies available to it and as authorized by the Required Lenders.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9.2.5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xml:space="preserve"> From and after the date on which the Administrative Agent has taken any action pursuant to Section 9.2.4 [Enforcement of Rights and Remedies] (or after the Loans have automatically become immediately due and payable and the Letter of Credit Obligations have automatically been required to be Cash Collateralized as specified in this Agreement) and until Payment in Full, any and all proceeds received on account of the Obligations shall (subject to Sections 2.10 [Defaulting Lenders] and 9.2.1 [Events of Default Generally] be applied as follows:</w:t>
      </w:r>
    </w:p>
    <w:p>
      <w:pPr>
        <w:spacing w:after="0" w:line="180" w:lineRule="exact"/>
        <w:rPr>
          <w:sz w:val="20"/>
          <w:szCs w:val="20"/>
          <w:color w:val="auto"/>
        </w:rPr>
      </w:pPr>
    </w:p>
    <w:p>
      <w:pPr>
        <w:jc w:val="both"/>
        <w:ind w:firstLine="1952"/>
        <w:spacing w:after="0" w:line="261" w:lineRule="auto"/>
        <w:tabs>
          <w:tab w:leader="none" w:pos="26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(other than Letter of Credit Fees), indemnities, expenses and other amounts, including attorney fees, payable to the Administrative Agent in its capacity as such, the Issuing Lender in its capacity as such and the Swing Loan Lender in its capacity as such, ratably among the Administrative Agent, the Issuing Lender and Swing Loan Lender in proportion to the respective amounts described in this clause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payable to them;</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3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under the Loan Documents, including attorney fees, ratably among the Lenders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and Reimbursement Obligations and Ordinary Course Hedge Payments (including any accrued interest thereon), ratably among the Lenders, the Issuing Lender and the applicable Hedge Banks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6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Reimbursement Obligations, Hedge Termination Value and any other Hedge Liabilities (including any accrued interest thereon) in respect of any Lender Provided Interest Rate Hedge or Lender Provided Foreign Currency Hedge, and payment obligations then owing under any Other Lender Provided Financial Service Products, ratably among the Lenders, the Issuing Lender, the applicable Hedge Banks and the applicable Cash Management Banks,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ind w:firstLine="1304"/>
        <w:spacing w:after="0" w:line="282" w:lineRule="auto"/>
        <w:tabs>
          <w:tab w:leader="none" w:pos="210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Administrative Agent for the account of the Issuing Lender, to Cash Collateralize any undrawn amounts under outstanding Letters of Credit (to the extent not otherwise cash collateralized pursuant to this Agreement); and</w:t>
      </w:r>
    </w:p>
    <w:p>
      <w:pPr>
        <w:spacing w:after="0" w:line="161"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Borrowers or as otherwise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Law.</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specified above.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Section 9.2.5 [Application of Proceeds], no Swap Obligations of any Non-Qualifying Party shall be paid with amounts received from such Non-Qualifying Party under its Guaranty Agreement (including sums received as a result of the exercise of remedies with respect to such Guaranty Agreement) if such Swap Obligations would constitute Excluded Hedge Liabilities; provided, however, that to the extent possible appropriate adjustments shall be made with respect to payments from other Loan Parties that are Eligible Contract Participants with respect to such Swap Obligations to preserve the allocation to Obligations otherwise set forth above in this Section 9.2.5 [Application of Proceeds].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notwithstanding the foregoing, Obligations arising under Lender Provided Interest Rate Hedges, Lender Provided Foreign Currency Hedges, and Other Lender Provided Financial Service Products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provided that, if the Administrative Agent is a Cash Management Bank or a Hedge Bank, such written notice and additional supporting documentation shall not be required. Each Cash Management Bank or Hedge Bank not a party to the Agreement that has given the notice contemplated by the preceding sentence shall, by such notice, be deemed to have acknowledged and accepted the appointment of the Administrative Agent pursuant to the terms of Section 10 hereof for itself and its Affiliates as if a “Lender” party hereto.</w:t>
      </w:r>
    </w:p>
    <w:p>
      <w:pPr>
        <w:spacing w:after="0" w:line="189" w:lineRule="exact"/>
        <w:rPr>
          <w:sz w:val="20"/>
          <w:szCs w:val="20"/>
          <w:color w:val="auto"/>
        </w:rPr>
      </w:pPr>
    </w:p>
    <w:p>
      <w:pPr>
        <w:ind w:left="4680" w:hanging="678"/>
        <w:spacing w:after="0"/>
        <w:tabs>
          <w:tab w:leader="none" w:pos="4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xml:space="preserve"> Each of the Lenders and the Issuing Lender hereby irrevocably appoints PNC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10 are solely for the benefit of the Administrative Agent, the Lenders and the Issuing Lender, and no Borrower nor any other Loan Party shall have rights as a third-party beneficiary of any of such provisions except Section 10.6 [Resignation of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xml:space="preserve">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76" w:lineRule="exact"/>
        <w:rPr>
          <w:sz w:val="20"/>
          <w:szCs w:val="20"/>
          <w:color w:val="auto"/>
        </w:rPr>
      </w:pPr>
    </w:p>
    <w:p>
      <w:pPr>
        <w:ind w:left="3300" w:hanging="700"/>
        <w:spacing w:after="0"/>
        <w:tabs>
          <w:tab w:leader="none" w:pos="33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subject to any fiduciary or other implied duties, regardless of whether a Potential Default or Event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Default has occurred and is continuing;</w:t>
      </w:r>
    </w:p>
    <w:p>
      <w:pPr>
        <w:spacing w:after="0" w:line="206" w:lineRule="exact"/>
        <w:rPr>
          <w:rFonts w:ascii="Times New Roman" w:cs="Times New Roman" w:eastAsia="Times New Roman" w:hAnsi="Times New Roman"/>
          <w:sz w:val="17"/>
          <w:szCs w:val="17"/>
          <w:color w:val="auto"/>
        </w:rPr>
      </w:pPr>
    </w:p>
    <w:p>
      <w:pPr>
        <w:jc w:val="both"/>
        <w:ind w:firstLine="2600"/>
        <w:spacing w:after="0" w:line="255" w:lineRule="auto"/>
        <w:tabs>
          <w:tab w:leader="none" w:pos="359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8"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8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Borrowers or any of their Affiliates that is communicated to or obtained by the Person serving as the Administrative Agent or any of its Affiliates in any capacity.</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11.1 [Modifications, Amendments or Waivers] and 9.2 [Consequences of Event of Default]) or</w:t>
      </w:r>
    </w:p>
    <w:p>
      <w:pPr>
        <w:spacing w:after="0" w:line="1" w:lineRule="exact"/>
        <w:rPr>
          <w:sz w:val="20"/>
          <w:szCs w:val="20"/>
          <w:color w:val="auto"/>
        </w:rPr>
      </w:pPr>
    </w:p>
    <w:p>
      <w:pPr>
        <w:jc w:val="both"/>
        <w:ind w:firstLine="8"/>
        <w:spacing w:after="0" w:line="255" w:lineRule="auto"/>
        <w:tabs>
          <w:tab w:leader="none" w:pos="29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its own gross negligence or willful misconduct as determined by a court of competent jurisdiction by final and nonappealable judgment. The Administrative Agent shall be deemed not to have knowledge of any Potential Default or Event of Default unless and until notice describing such Potential Default or Event of Default is given to the Administrative Agent in writing by the Borrowers, a Lender or an Issuing Lender.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Section 7 [Conditions of Lending and Issuance of Letters of Credit] or elsewhere herein, other than to confirm receipt of items expressly required to be delivered to the Administrative Agent.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hereunder or under any other Loan Document by or through any one or more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agents appointed by the Administrative Agent. The Administrative Agent and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may perform any and all of its duties and exercise its rights and powers by or through their respective Related Parties. The exculpatory provisions of this Section 10 shall apply to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and to the Related Parties of the Administrative Agent and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 xml:space="preserve"> The Administrative Agent may at any time give notice of its resignation to the Lenders, the Issuing Lender and the Borrowers. Upon receipt of any such notice of resignation, the Required Lenders shall have the right, with approval from the Borrowers (so long as no Potential Default or Event of Default has occurred and is continuing), to appoint a successor, such approval not to be unreasonably withheld or delayed. If no such successor shall have been so appointed by the Required Lenders and shall have accepted such appointment within thirty (30) days after the retiring Administrative Agent gives notice of its resignation (the “</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and the Issuing Lender, appoint a successor Administrative Agent,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the Person serving as the Administrative Agent is a Defaulting Lender pursuant to clause (iv) of the definition thereof, the Required Lenders may, to the extent permitted by applicable Law, by notice in writing to the Borrowers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8"/>
          <w:szCs w:val="18"/>
          <w:b w:val="1"/>
          <w:bCs w:val="1"/>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With effect from the Resignation Effective Date or the Removal Effective Date (as applicable), (a) the retiring or removed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or removed Administrative Agent shall continue to hold such collateral security until such time as a successor Administrative Agent is appointed) and (b) except for any indemnity payments owed to the retiring or removed Administrative Agent, all payments, communications and determinations provided to be made by, to or through the Administrative Agent shall instead be made by or to each Lender and the Issuing Lender directly, until such time, if any, as the Required Lenders appoint a successor Administrative Agent as provided for above in this Section 10.6 [Resignation of Administrative Agent].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10.6 [Resignation of Administrative Agent]).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Section 10 [The Administrative Agent] and Section 11.3 [Expenses; Indemnity; Damage Waiver]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PNC resigns as Administrative Agent under this Section 10.6, PNC shall also resign as an Issuing Lender. Upon the appointment of a successor Administrative Agent hereunder, such successor shall (i) succeed to all of the rights, powers, privileges and duties of PNC as the retiring Issuing Lender and Administrative Agent and PNC shall be discharged from all of its respective duties and obligations as Issuing Lender and Administrative Agent under the Loan Documents, and (ii) issue letters of credit in substitution for the Letters of Credit issued by PNC, if any, outstanding at the time of such succession or make other arrangement satisfactory to PNC to effectively assume the obligations of PNC with respect to such Letters of Credit.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xml:space="preserve"> 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and each Issuing Lender represents and warrants that (i) the Loan Documents set forth the terms of a commercial lending facility and certain other facilities as set forth herein and (ii) it is engaged in making, acquiring or holding commercial loans, issuing or participating in letters of credit or providing other similar facilities in the ordinary course and is entering into this Agreement as a Lender or Issuing Lender for the purpose of making, acquiring or holding commercial loans, issuing or participating in letters of credit and providing other facilities as set forth herein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or hold commercial loans, issue or participate in letters of credit and to provide other facilities set forth herein, as may be applicable to such Lender or such Issuing Lender, and either it, or the Person exercising discretion in making its decision to make, acquire or hold such commercial loans, issue or participate in letters of credit or to provide such other facilities, is experienced in making, acquiring or holding commercial loans, issuing or participating in letters of credit or providing such other facilities.</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No Other Duties, etc.; No Fiduciary Responsibility</w:t>
      </w:r>
      <w:r>
        <w:rPr>
          <w:rFonts w:ascii="Times New Roman" w:cs="Times New Roman" w:eastAsia="Times New Roman" w:hAnsi="Times New Roman"/>
          <w:sz w:val="18"/>
          <w:szCs w:val="18"/>
          <w:color w:val="auto"/>
        </w:rPr>
        <w:t>. Anything herein to the contrary notwithstanding, none of the Sole Lead Arranger and Sole Bookrunner listed on the cover page hereof shall have any powers, duties or responsibilities under this Agreement or any of the other Loan Documents, except in its capacity, as applicable, as the Administrative Agent, a Lender or the Issuing Lender hereunder. Each of the Lenders is and has been acting solely as a principal and, except as expressly agreed in writing by the relevant parties, has not been, is not, and will not be acting as an advisor, agent or fiduciary for the Borrowers or any of their Affiliates, or any other Person.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Administrative Agent’s Fee.</w:t>
      </w:r>
      <w:r>
        <w:rPr>
          <w:rFonts w:ascii="Times New Roman" w:cs="Times New Roman" w:eastAsia="Times New Roman" w:hAnsi="Times New Roman"/>
          <w:sz w:val="18"/>
          <w:szCs w:val="18"/>
          <w:color w:val="auto"/>
        </w:rPr>
        <w:t xml:space="preserve"> The Borrowers shall pay to the Administrative Agent a nonrefundable fee (the “</w:t>
      </w:r>
      <w:r>
        <w:rPr>
          <w:rFonts w:ascii="Times New Roman" w:cs="Times New Roman" w:eastAsia="Times New Roman" w:hAnsi="Times New Roman"/>
          <w:sz w:val="18"/>
          <w:szCs w:val="18"/>
          <w:b w:val="1"/>
          <w:bCs w:val="1"/>
          <w:color w:val="auto"/>
        </w:rPr>
        <w:t>Administrative Agent’s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under the terms of a letter dated October 29, 2025 (the “</w:t>
      </w:r>
      <w:r>
        <w:rPr>
          <w:rFonts w:ascii="Times New Roman" w:cs="Times New Roman" w:eastAsia="Times New Roman" w:hAnsi="Times New Roman"/>
          <w:sz w:val="18"/>
          <w:szCs w:val="18"/>
          <w:b w:val="1"/>
          <w:bCs w:val="1"/>
          <w:color w:val="auto"/>
        </w:rPr>
        <w:t>Administrative Agent’s Letter</w:t>
      </w:r>
      <w:r>
        <w:rPr>
          <w:rFonts w:ascii="Times New Roman" w:cs="Times New Roman" w:eastAsia="Times New Roman" w:hAnsi="Times New Roman"/>
          <w:sz w:val="18"/>
          <w:szCs w:val="18"/>
          <w:color w:val="auto"/>
        </w:rPr>
        <w:t>”) between the Borrowers and Administrative Agent,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 For the avoidance of doubt, the Administrative Agent’s Letter supersedes all prior fee letters between the Borrowers and the Administrative Agent.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xml:space="preserve"> Each of the Secured Parties irrevocably authorizes the Administrative Agent, at its option and in its discretion, (i) to release any Guarantor from its obligations under the Guaranty Agreement if the ownership interests in such Guarantor are sold or otherwise disposed of or transferred to persons other than Loan Parties or Subsidiaries of the Loan Parties in a transaction permitted under Section 8.2.7 [Dispositions of Assets or Subsidiaries] or Section 8.2.6 [Liquidations, Mergers, Consolidations, Acquisitions], and (ii) to release any Lien on any property granted to or held by the Administrative Agent under any Loan Document (y) that is sold or otherwise disposed of or to be sold or otherwise disposed of as part of or in connection with any sale or other disposition permitted under the Loan Documents, or (z) subject to Section 11.1 [Modifications; Amendment or Waivers], if approved, authorized or ratified in writing by the Required Lenders. Upon request by the Administrative Agent at any time, the Required Lenders will confirm in writing the Administrative Agent’s authority to release its interest in particular types or items of property, or to release any Guarantor from its obligations under the Guaranty Agreement pursuant to this Section 10.10.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No Reliance on Administrative Agent’s Customer Identification Program.</w:t>
      </w:r>
      <w:r>
        <w:rPr>
          <w:rFonts w:ascii="Times New Roman" w:cs="Times New Roman" w:eastAsia="Times New Roman" w:hAnsi="Times New Roman"/>
          <w:sz w:val="18"/>
          <w:szCs w:val="18"/>
          <w:color w:val="auto"/>
        </w:rPr>
        <w:t xml:space="preserve">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8"/>
          <w:szCs w:val="18"/>
          <w:b w:val="1"/>
          <w:bCs w:val="1"/>
          <w:color w:val="auto"/>
        </w:rPr>
        <w:t>CIP Regulations</w:t>
      </w:r>
      <w:r>
        <w:rPr>
          <w:rFonts w:ascii="Times New Roman" w:cs="Times New Roman" w:eastAsia="Times New Roman" w:hAnsi="Times New Roman"/>
          <w:sz w:val="18"/>
          <w:szCs w:val="18"/>
          <w:color w:val="auto"/>
        </w:rPr>
        <w:t>”), or any other Anti-Money Laundering Law, any Anti-Corruption Law, or any other International Trade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spacing w:after="0" w:line="19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u w:val="single" w:color="auto"/>
          <w:color w:val="auto"/>
        </w:rPr>
        <w:t>Certain ERISA Matters.</w:t>
      </w:r>
    </w:p>
    <w:p>
      <w:pPr>
        <w:spacing w:after="0" w:line="225" w:lineRule="exact"/>
        <w:rPr>
          <w:sz w:val="20"/>
          <w:szCs w:val="20"/>
          <w:color w:val="auto"/>
        </w:rPr>
      </w:pPr>
    </w:p>
    <w:p>
      <w:pPr>
        <w:jc w:val="both"/>
        <w:ind w:firstLine="1304"/>
        <w:spacing w:after="0" w:line="261" w:lineRule="auto"/>
        <w:tabs>
          <w:tab w:leader="none" w:pos="200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any Borrower or any other Loan Party, that at least one of the following is and will be true: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6" w:name="page177"/>
    <w:bookmarkEnd w:id="176"/>
    <w:p>
      <w:pPr>
        <w:jc w:val="both"/>
        <w:ind w:left="660" w:firstLine="1292"/>
        <w:spacing w:after="0" w:line="266" w:lineRule="auto"/>
        <w:tabs>
          <w:tab w:leader="none" w:pos="269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1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5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660" w:firstLine="1292"/>
        <w:spacing w:after="0" w:line="282" w:lineRule="auto"/>
        <w:tabs>
          <w:tab w:leader="none" w:pos="264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6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u w:val="single" w:color="auto"/>
          <w:color w:val="auto"/>
        </w:rPr>
        <w:t>Erroneous Payments</w:t>
      </w:r>
    </w:p>
    <w:p>
      <w:pPr>
        <w:spacing w:after="0" w:line="225" w:lineRule="exact"/>
        <w:rPr>
          <w:sz w:val="20"/>
          <w:szCs w:val="20"/>
          <w:color w:val="auto"/>
        </w:rPr>
      </w:pPr>
    </w:p>
    <w:p>
      <w:pPr>
        <w:jc w:val="both"/>
        <w:ind w:firstLine="1304"/>
        <w:spacing w:after="0" w:line="252" w:lineRule="auto"/>
        <w:tabs>
          <w:tab w:leader="none" w:pos="194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Issuing Lender or Secured Party, or any Person who has received funds on behalf of a Lender, Issuing Lender or Secured Party (any such Lender, Issuing Lender, Secured Party or other recipient, a “</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Effective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9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1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Issuing Lender or Secured Party, or any Person who has received funds on behalf of a Lender, Issuing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or Secured Party, or other such recipient, otherwise becomes aware was transmitted, or received, in error or by mistake (in whole or in part) in each case:</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8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both"/>
        <w:ind w:firstLine="1952"/>
        <w:spacing w:after="0" w:line="261" w:lineRule="auto"/>
        <w:tabs>
          <w:tab w:leader="none" w:pos="266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Issuing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10.13(b).</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from any source, against any amount due to the Administrative Agent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under the indemnification provisions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99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or Issuing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upon the Administrative Agent’s notice to such Lender or Issuing Lender at any time, (i) such Lender or Issuing Lender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b w:val="1"/>
          <w:bCs w:val="1"/>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or Secured Party under the Loan Documents with respect to each Erroneous Payment Return Deficiency (the “</w:t>
      </w:r>
      <w:r>
        <w:rPr>
          <w:rFonts w:ascii="Times New Roman" w:cs="Times New Roman" w:eastAsia="Times New Roman" w:hAnsi="Times New Roman"/>
          <w:sz w:val="18"/>
          <w:szCs w:val="18"/>
          <w:b w:val="1"/>
          <w:bCs w:val="1"/>
          <w:color w:val="auto"/>
        </w:rPr>
        <w:t>Erroneous Payment Subrogation Rights</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jc w:val="both"/>
        <w:ind w:firstLine="1304"/>
        <w:spacing w:after="0" w:line="261" w:lineRule="auto"/>
        <w:tabs>
          <w:tab w:leader="none" w:pos="19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the Borrowers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such Erroneous Payment.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9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agreements and waivers under this Section 10.13 shall survive the resignation or replacement of the Administrative Agent, the termination of the Commitments and/or the repayment, satisfaction or discharge of all Obligations (or any portion thereof) under any Loan Document.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Lender Provided Interest Rate Hedges, Lender Provided Foreign Currency Hedges and Other Lender Provided Financial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Except as otherwise expressly specified herein, no Cash Management Bank or Hedge Bank that obtains the benefits of Section 9.2.5 [Application of Proceeds], the Guaranty Agreement or any Collateral by virtue of the provisions hereof or of the Guaranty Agreement or any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Section 10 to the contrary, the Administrative Agent shall not be required to verify the payment of, or that other satisfactory arrangements have been made with respect to, Obligations arising under Lender Provided Interest Rate Hedges, Lender Provided Foreign Currency Hedges and/or Other Lender Provided Financial Service Products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xml:space="preserve"> In case of the pendency of any proceeding under any Debtor Relief Law or any other judicial proceeding relative to any Loan Party, the Administrative Agent (irrespective of whether the principal of any Loan or Letter of Credit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0" w:lineRule="exact"/>
        <w:rPr>
          <w:sz w:val="20"/>
          <w:szCs w:val="20"/>
          <w:color w:val="auto"/>
        </w:rPr>
      </w:pPr>
    </w:p>
    <w:p>
      <w:pPr>
        <w:jc w:val="both"/>
        <w:ind w:firstLine="1304"/>
        <w:spacing w:after="0" w:line="256" w:lineRule="auto"/>
        <w:tabs>
          <w:tab w:leader="none" w:pos="196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Lender and the Administrative Agent (including any claim for the reasonable compensation, expenses, disbursements and advances of the Lenders, the Issuing Lender and the Administrative Agent and their respective agents and counsel and all other amounts due the Lenders, the Issuing Lender and the Administrative Agent under Sections 2.9.2 [Letter of Credit Fees] and 11.3 [Expenses; Indemnity; Damage Waiver]) allowed in such judicial proceeding; and</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the Issuing Lender to make such payments to the Administrative Agent and, in the event that the Administrative Agent shall consent to the making of such payments directly to the Lenders and the Issuing Lender, to pay to the Administrative Agent any amount due for the reasonable compensation, expenses, disbursements and advances of the Administrative Agent and its agents and counsel, and any other amounts due the Administrative Agent under Section 11.3 [Expenses; Indemnity; Damage Waiver].</w:t>
      </w:r>
    </w:p>
    <w:p>
      <w:pPr>
        <w:spacing w:after="0" w:line="183" w:lineRule="exact"/>
        <w:rPr>
          <w:sz w:val="20"/>
          <w:szCs w:val="20"/>
          <w:color w:val="auto"/>
        </w:rPr>
      </w:pPr>
    </w:p>
    <w:p>
      <w:pPr>
        <w:ind w:left="5180" w:hanging="617"/>
        <w:spacing w:after="0"/>
        <w:tabs>
          <w:tab w:leader="none" w:pos="51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Modifications, Amendments or Waivers.</w:t>
      </w:r>
      <w:r>
        <w:rPr>
          <w:rFonts w:ascii="Times New Roman" w:cs="Times New Roman" w:eastAsia="Times New Roman" w:hAnsi="Times New Roman"/>
          <w:sz w:val="18"/>
          <w:szCs w:val="18"/>
          <w:color w:val="auto"/>
        </w:rPr>
        <w:t xml:space="preserve"> With the written consent of the Required Lenders (or as expressly provided by Section 4.4.4 and the last paragraph of this Section 11.1), the Administrative Agent, acting on behalf of all the Lenders, and the Borrowers, on behalf of the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agreement, waiver or consent may be made which will: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Increase of Commitment.</w:t>
      </w:r>
      <w:r>
        <w:rPr>
          <w:rFonts w:ascii="Times New Roman" w:cs="Times New Roman" w:eastAsia="Times New Roman" w:hAnsi="Times New Roman"/>
          <w:sz w:val="18"/>
          <w:szCs w:val="18"/>
          <w:color w:val="auto"/>
        </w:rPr>
        <w:t xml:space="preserve"> Increase the amount of the Revolving Credit Commitment of any Lender hereunder without the consent of such Lender;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Extension of Payment; Reduction of Principal, Interest or Fees; Modification of Terms of Payment.</w:t>
      </w:r>
      <w:r>
        <w:rPr>
          <w:rFonts w:ascii="Times New Roman" w:cs="Times New Roman" w:eastAsia="Times New Roman" w:hAnsi="Times New Roman"/>
          <w:sz w:val="18"/>
          <w:szCs w:val="18"/>
          <w:color w:val="auto"/>
        </w:rPr>
        <w:t xml:space="preserve"> Whether or not any Loans are outstanding, extend the Expiration Date or the time for payment of principal or interest of any Loan (excluding the due date of any mandatory prepayment of a Loan), the Commitment Fee or any other fee payable to any Lender, or reduce the principal amount of or the rate of interest borne by any Loan (other than as a result of waiving the applicability of any post-default increase in interest rates) or reduce the Commitment Fee or any other fee payable to any Lender, without the consent of each Lender directly affected thereby (provided that any amendment or modification of defined terms used in the financial covenants of this Agreement shall not constitute a reduction in the stated rate of interest or fees for purposes of this Section 11.1.2);</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Release of Collateral or Guarantor; Subordination of Obligations or Collateral.</w:t>
      </w:r>
      <w:r>
        <w:rPr>
          <w:rFonts w:ascii="Times New Roman" w:cs="Times New Roman" w:eastAsia="Times New Roman" w:hAnsi="Times New Roman"/>
          <w:sz w:val="18"/>
          <w:szCs w:val="18"/>
          <w:color w:val="auto"/>
        </w:rPr>
        <w:t xml:space="preserve"> Except as permitted by Section 8.2.7 [Dispositions of Assets or Subsidiaries] or Section 10.10 [Collateral and Guaranty Matters], (i) release all or substantially all of the Collateral or release all or substantially all the value of the Guarantors from their Obligations under the Guaranty Agreement, in each case without the consent of all Lenders (other than Defaulting Lenders) or (ii) (y) subordinate, or have the effect of subordinating, the Obligations hereunder to any other Indebtedness, or (z) subordinate, or have the effect of subordinating, the Liens securing the Obligations to Liens securing any other Indebtedness, in each case without the prior consent of each Lender directly affected thereby; or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Amend Section 5.2 [Pro Rata Treatment of Lenders], Section 10.3 [Exculpatory Provisions], Section 5.3 [Sharing of Payments by Lenders], Section 9.2.5 [Application of Proceeds] or this Section 11.1, alter any provision regarding the pro rata treatment of the Lenders or requiring all Lenders to authorize the taking of any action or reduce any percentage specified in the definition of “Required Lenders”, in each case without the consent of all of the Lenders (other than Defaulting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agreement, waiver or consent which would modify the interests, rights or obligations of the Administrative Agent, the Issuing Lender, or the Swing Loan Lender may be made without the written consent of the Administrative Agent, the Issuing Lender or the Swing Loan Lender, as applicable, and (ii) the Administrative Agent’s Letter may be amended, or the rights or privileges thereunder waived, in a writing executed only by the parties thereto,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in connection with any proposed waiver, amendment or modification referred to in Sections 11.1.1 through 11.1.4 above, the consent of the Required Lenders is obtained but the consent of one or more of such other Lenders whose consent is required is not obtained (each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then the Borrowers shall have the right to replace any such Non-Consenting Lender with one or more replacement Lenders pursuant to Section 5.13 [Replacement of a Lender].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notwithstanding the foregoing, (a) with the consent of the Borrowers, the Administrative Agent may amend, modify or supplement any Loan Document without the consent of any Lender or the Required Lenders in order to correct or cure any ambiguity, inconsistency or defect or correct any typographical or ministerial error in any Loan Document (provided that any such amendment, modification or supplement shall not be materially adverse to the interests of the Lenders taken as a whole), (b) without the consent of any Lender or the Borrowers, within a reasonable time after (i) the effective date of any increase or addition to, extension of or decrease from, the Revolving Commitment Amount, or (ii) any assignment by any Lender of some or all of its Revolving Commitment Amount, the Administrative Agent shall, and is hereby authorized to, revise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to reflect such change, whereupon such revised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shall replace the old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and become part of this Agreement, and (c) with the consent of the Borrowers, the Administrative Agent may amend or amend and restate this Agreement and the other Loan Documents without the consent of any Lender, if</w:t>
      </w:r>
    </w:p>
    <w:p>
      <w:pPr>
        <w:spacing w:after="0" w:line="1" w:lineRule="exact"/>
        <w:rPr>
          <w:sz w:val="20"/>
          <w:szCs w:val="20"/>
          <w:color w:val="auto"/>
        </w:rPr>
      </w:pPr>
    </w:p>
    <w:p>
      <w:pPr>
        <w:jc w:val="both"/>
        <w:ind w:firstLine="8"/>
        <w:spacing w:after="0" w:line="253" w:lineRule="auto"/>
        <w:tabs>
          <w:tab w:leader="none" w:pos="23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giving effect to such amendment or amendment and restatement, such Lender shall no longer be a party to this Agreement (as so amended or amended and restated), (ii) the Commitments of such lender shall have terminated, (iii) such Lender shall have no other commitment or other obligation hereunder, and (iv) such Lender shall have been paid in full all principal, interest and other amounts owing to it or accrued for its account under this Agreement and the other Loan Documents.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No Implied Waivers; Cumulative Remedies.</w:t>
      </w:r>
      <w:r>
        <w:rPr>
          <w:rFonts w:ascii="Times New Roman" w:cs="Times New Roman" w:eastAsia="Times New Roman" w:hAnsi="Times New Roman"/>
          <w:sz w:val="18"/>
          <w:szCs w:val="18"/>
          <w:color w:val="auto"/>
        </w:rPr>
        <w:t xml:space="preserve"> 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reasonable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p>
    <w:p>
      <w:pPr>
        <w:spacing w:after="0" w:line="184" w:lineRule="exact"/>
        <w:rPr>
          <w:sz w:val="20"/>
          <w:szCs w:val="20"/>
          <w:color w:val="auto"/>
        </w:rPr>
      </w:pPr>
    </w:p>
    <w:p>
      <w:pPr>
        <w:jc w:val="both"/>
        <w:ind w:firstLine="1296"/>
        <w:spacing w:after="0" w:line="220" w:lineRule="exact"/>
        <w:rPr>
          <w:sz w:val="20"/>
          <w:szCs w:val="20"/>
          <w:color w:val="auto"/>
        </w:rPr>
      </w:pPr>
      <w:r>
        <w:rPr>
          <w:rFonts w:ascii="Times New Roman" w:cs="Times New Roman" w:eastAsia="Times New Roman" w:hAnsi="Times New Roman"/>
          <w:sz w:val="18"/>
          <w:szCs w:val="18"/>
          <w:color w:val="auto"/>
        </w:rPr>
        <w:t xml:space="preserve">11.3.1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The Borrowers shall pay (i) all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and its Affiliates (including the reasonable fees, charges and disbursements of counsel for the Administrative Agent), and shall pay all fees and time charges and disbursements for attorneys who may be employees of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Issuing Lender in connection with the issuance, amendment, renewal or extension of any Letter of Credit or any demand for payment thereunder, (iii) all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any Lender or the Issuing Lender (including the fees, charges and disbursements of any counsel for the Administrative Agent, any Lender or the Issuing Lender), and shall pay all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during any workout, restructuring or negotiations in respect of such Loans or Letters of Credit, and (iv) all reasonable out-of-pocket expenses of the Administrative Agent's regular employees and agents engaged periodically to perform audits of the Loan Parties' books, records and business properties.</w:t>
      </w:r>
    </w:p>
    <w:p>
      <w:pPr>
        <w:spacing w:after="0" w:line="20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11.3.2 </w:t>
      </w:r>
      <w:r>
        <w:rPr>
          <w:rFonts w:ascii="Times New Roman" w:cs="Times New Roman" w:eastAsia="Times New Roman" w:hAnsi="Times New Roman"/>
          <w:sz w:val="18"/>
          <w:szCs w:val="18"/>
          <w:u w:val="single" w:color="auto"/>
          <w:color w:val="auto"/>
        </w:rPr>
        <w:t>Indemnification by the Borrowers.</w:t>
      </w:r>
      <w:r>
        <w:rPr>
          <w:rFonts w:ascii="Times New Roman" w:cs="Times New Roman" w:eastAsia="Times New Roman" w:hAnsi="Times New Roman"/>
          <w:sz w:val="18"/>
          <w:szCs w:val="18"/>
          <w:color w:val="auto"/>
        </w:rPr>
        <w:t xml:space="preserve"> The Borrowers shall indemnify the Administrative Agent (and any sub-agent thereof), each Lender and the Issuing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against, and hold each Indemnitee harmless from (and shall reimburse each Indemnitee as the same are incurred),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Borrowers or any other Loan Party, or any affiliate of any such party ) other than such Indemnitee and its Related Parties arising out of, in connection with, or as a result of (i) the execution or delivery of this Agreement, any other Loan Document or any agreement or instrument contemplated hereby or thereby, the performance or nonperformance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breach of representations, warranties or covenants of the Borrowers under the Loan Documents, or (iv) any actual or prospective claim, litigation, investigation or proceeding relating to any of the foregoing, including any such items or losses relating to or arising under Environmental Laws or pertaining to environmental matters, whether based on contract, tort or any other theory, whether brought by a third party or by the Borrowers or any other Loan Party or any affiliate of any such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Borrowers or any other Loan Party against an Indemnitee for breach in bad faith of such Indemnitee’s obligations hereunder or under any other Loan Document, if the Borrowers or such Loan Party has obtained a final and nonappealable judgment in its favor on such claim as determined by a court of competent jurisdiction, or (z) result from a claim not involving an act or omission of the Borrowers and that is brought by an Indemnitee against another Indemnitee (other than against the arranger or the Administrative Agent in their capacities as such). This Section 11.3.2 [Indemnification by the Borrowers] shall not apply with respect to Taxes other than any Taxes that represent losses, claims, damages, liabilities or related expenses arising from any non-Tax claim.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11.3.3 </w:t>
      </w: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Borrowers for any reason fail to indefeasibly pay any amount required under Sections 11.3.1 [Costs and Expenses] or 11.3.2 [Indemnification by the Borrowers] to be paid by it to the Administrative Agent (or any sub-agent thereof), the Issuing Lender, the Swing Loan Lender or any Related Party of any of the foregoing, each Lender severally agrees to pay to the Administrative Agent (or any such sub-agent), such Issuing Lender, such Swing Loan Lender or such Related Party, as the case may be, such Lender’s pro rata share (determined as of the time that the applicable unreimbursed expense or indemnity payment is sought based on each Lender’s Ratable Share at such time) of such unpaid amount (including any such unpaid amount in respect of a claim asserted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the Issuing Lender or the Swing Loan Lender in its capacity as such, or against any Related Party of any of the foregoing acting for the Administrative Agent (or any such sub-agent), Issuing Lender or the Swing Loan Lender in connection with such capacity.</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11.3.4 </w:t>
      </w: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Borrower shall assert, and each Borrower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Section 11.3.2 [Indemnification by Borrowers]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9"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color w:val="auto"/>
        </w:rPr>
        <w:t>11.3.5</w:t>
      </w:r>
      <w:r>
        <w:rPr>
          <w:sz w:val="20"/>
          <w:szCs w:val="20"/>
          <w:color w:val="auto"/>
        </w:rPr>
        <w:tab/>
      </w:r>
      <w:r>
        <w:rPr>
          <w:rFonts w:ascii="Times New Roman" w:cs="Times New Roman" w:eastAsia="Times New Roman" w:hAnsi="Times New Roman"/>
          <w:sz w:val="18"/>
          <w:szCs w:val="18"/>
          <w:u w:val="single" w:color="auto"/>
          <w:color w:val="auto"/>
        </w:rPr>
        <w:t xml:space="preserve">Payments. </w:t>
      </w:r>
      <w:r>
        <w:rPr>
          <w:rFonts w:ascii="Times New Roman" w:cs="Times New Roman" w:eastAsia="Times New Roman" w:hAnsi="Times New Roman"/>
          <w:sz w:val="18"/>
          <w:szCs w:val="18"/>
          <w:color w:val="auto"/>
        </w:rPr>
        <w:t>All amounts due under this Section shall be payable not later than ten (10) days after demand therefor.</w:t>
      </w:r>
    </w:p>
    <w:p>
      <w:pPr>
        <w:spacing w:after="0" w:line="225"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11.3.6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Section 11.3 shall survive the termination of the Loan Documents and payment of the obligations hereunder.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Holidays.</w:t>
      </w:r>
      <w:r>
        <w:rPr>
          <w:rFonts w:ascii="Times New Roman" w:cs="Times New Roman" w:eastAsia="Times New Roman" w:hAnsi="Times New Roman"/>
          <w:sz w:val="18"/>
          <w:szCs w:val="18"/>
          <w:color w:val="auto"/>
        </w:rPr>
        <w:t xml:space="preserve"> Whenever payment of a Loan to be made or taken hereunder shall be due on a day which is not a Business Day such payment shall be due on the next Business Day (except as provided in Section 4.2 [Interest Periods]) and such extension of time shall be included in computing interest and fees, except that the Loans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u w:val="single" w:color="auto"/>
          <w:color w:val="auto"/>
        </w:rPr>
        <w:t>Notices; Effectiveness; Electronic Communication.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11.5.1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Section 11.5.2 [Electronic Communications]), all notices and other communications provided for herein shall be in writing and shall be delivered by hand or overnight courier service, mailed by certified or registered mail or sent by telecopier (i) if to a Lender, to it at its address set forth in its Administrative Questionnaire, or (ii) if to any other Person, to it at its address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11.5.2 [Electronic Communications], shall be effective as provided in such Section.</w:t>
      </w:r>
    </w:p>
    <w:p>
      <w:pPr>
        <w:spacing w:after="0" w:line="180" w:lineRule="exact"/>
        <w:rPr>
          <w:sz w:val="20"/>
          <w:szCs w:val="20"/>
          <w:color w:val="auto"/>
        </w:rPr>
      </w:pPr>
    </w:p>
    <w:p>
      <w:pPr>
        <w:jc w:val="both"/>
        <w:ind w:firstLine="1296"/>
        <w:spacing w:after="0" w:line="217" w:lineRule="exact"/>
        <w:rPr>
          <w:sz w:val="20"/>
          <w:szCs w:val="20"/>
          <w:color w:val="auto"/>
        </w:rPr>
      </w:pPr>
      <w:r>
        <w:rPr>
          <w:rFonts w:ascii="Times New Roman" w:cs="Times New Roman" w:eastAsia="Times New Roman" w:hAnsi="Times New Roman"/>
          <w:sz w:val="18"/>
          <w:szCs w:val="18"/>
          <w:color w:val="auto"/>
        </w:rPr>
        <w:t xml:space="preserve">11.5.2 </w:t>
      </w: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Issuing Lender hereunder may be delivered or furnished by electronic communication (including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the Issuing Lender if such Lender or the Issuing Lender, as applicable, has notified the Administrative Agent that it is incapable of receiving notices under such Section by electronic communication. The Administrative Agent may, in its discretion, or the Borrowers may, in their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both"/>
        <w:ind w:right="20" w:firstLine="1296"/>
        <w:spacing w:after="0" w:line="245" w:lineRule="exact"/>
        <w:rPr>
          <w:sz w:val="20"/>
          <w:szCs w:val="20"/>
          <w:color w:val="auto"/>
        </w:rPr>
      </w:pPr>
      <w:r>
        <w:rPr>
          <w:rFonts w:ascii="Times New Roman" w:cs="Times New Roman" w:eastAsia="Times New Roman" w:hAnsi="Times New Roman"/>
          <w:sz w:val="18"/>
          <w:szCs w:val="18"/>
          <w:color w:val="auto"/>
        </w:rPr>
        <w:t xml:space="preserve">11.5.3 </w:t>
      </w: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xml:space="preserve"> Any party hereto may change its address,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address or facsimile number for notices and other communications hereunder by notice to the other parties hereto.</w:t>
      </w:r>
    </w:p>
    <w:p>
      <w:pPr>
        <w:spacing w:after="0" w:line="19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11.5.4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The Borrowers and each Loan Party agree that the Administrative Agent may, but shall not be obligated to, make the Communications (as defined below) available to the Issuing Lender and the other Lenders by posting the Communications on the Platform.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have any liability to the Borrowers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the Borrowers or any Loan Party pursuant to any Loan Document or the transactions contemplated therein which is distributed to the Administrative Agent, any Lender or any Issuing Lender by means of electronic communications pursuant to this Section, including through the Platform.</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 Issuing Lender or the Swing Loan Lender, as applicable, then such provisions shall be deemed to be in effect only to the extent not so limited.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Duration; Survival.</w:t>
      </w:r>
      <w:r>
        <w:rPr>
          <w:rFonts w:ascii="Times New Roman" w:cs="Times New Roman" w:eastAsia="Times New Roman" w:hAnsi="Times New Roman"/>
          <w:sz w:val="18"/>
          <w:szCs w:val="18"/>
          <w:color w:val="auto"/>
        </w:rPr>
        <w:t xml:space="preserve"> All representations and warranties of the Loan Parties contained herein or made in connection herewith shall survive the execution and delivery of this Agreement, the completion of the transactions hereunder and Payment In Full. All covenants and agreements of the Borrowers contained herein relating to the payment of principal, interest, premiums, additional compensation or expenses and indemnification, including those set forth in the Notes, Section 5 [Payments] and Section 11.3 [Expenses; Indemnity; Damage Waiver], shall survive Payment In Full. All other covenants and agreements of the Loan Parties shall continue in full force and effect from and after the date hereof and until Payment In Full.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87" w:name="page188"/>
    <w:bookmarkEnd w:id="187"/>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u w:val="single" w:color="auto"/>
          <w:color w:val="auto"/>
        </w:rPr>
        <w:t>Successors and Assigns.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11.8.1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(including, in each case, by way of an LLC Division) without the prior written consent of the Administrative Agent and each Lender and no Lender may assign or otherwise transfer any of its rights or obligations hereunder except (i) to an assignee in accordance with the provisions of Section 11.8.2 [Assignments by Lenders], (ii) by way of participation in accordance with the provisions of Section 11.8.4 [Participations], or (iii) by way of pledge or assignment of a security interest subject to the restrictions of Section 11.8.5 [Certain Pledges; Successors and Assigns Generally]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11.8.4 [Participations] and, to the extent expressly contemplated hereby, the Related Parties of each of the Administrative Agent and the Lenders) any legal or equitable right, remedy or claim under or by reason of this Agreement.</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11.8.2 </w:t>
      </w: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6" w:lineRule="exact"/>
        <w:rPr>
          <w:sz w:val="20"/>
          <w:szCs w:val="20"/>
          <w:color w:val="auto"/>
        </w:rPr>
      </w:pPr>
    </w:p>
    <w:p>
      <w:pPr>
        <w:ind w:left="2620" w:hanging="668"/>
        <w:spacing w:after="0"/>
        <w:tabs>
          <w:tab w:leader="none" w:pos="2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0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75" w:lineRule="exact"/>
        <w:rPr>
          <w:rFonts w:ascii="Times New Roman" w:cs="Times New Roman" w:eastAsia="Times New Roman" w:hAnsi="Times New Roman"/>
          <w:sz w:val="18"/>
          <w:szCs w:val="18"/>
          <w:color w:val="auto"/>
        </w:rPr>
      </w:pPr>
    </w:p>
    <w:p>
      <w:pPr>
        <w:jc w:val="both"/>
        <w:ind w:firstLine="2600"/>
        <w:spacing w:after="0" w:line="255" w:lineRule="auto"/>
        <w:tabs>
          <w:tab w:leader="none" w:pos="328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clause (i)(A) of this Section 11.8.2,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$5,000,000, in the case of any assignment in respect of the Revolving Credit Commitment of the assigning Lender, unless each of the Administrative Agent and, so long as no Event of Default has occurred and is continuing, the Borrowers otherwise consent (each such consent not to be unreasonably withheld or delayed).</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76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both"/>
        <w:ind w:firstLine="1952"/>
        <w:spacing w:after="0" w:line="266" w:lineRule="auto"/>
        <w:tabs>
          <w:tab w:leader="none" w:pos="272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for the consent of the Administrative Agent (which shall not be unreasonably withheld or delayed and shall not be required for any assignment to a Lender, an Affiliate of a Lender or an Approved Fund) and:</w:t>
      </w:r>
    </w:p>
    <w:p>
      <w:pPr>
        <w:spacing w:after="0" w:line="175"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Borrowers (such consent not to be unreasonably withheld or delayed) shall be required unless</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6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at the time of such assignment or (y) such assignment is to a Lender, an Affiliate of a Lender or an Approved Fund; provided that the Borrowers shall be deemed to have consented to any such assignment unless it shall object thereto by written notice to the Administrative Agent within five (5) Business Days after having received notice thereof; and</w:t>
      </w:r>
    </w:p>
    <w:p>
      <w:pPr>
        <w:spacing w:after="0" w:line="18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39"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Issuing Lender (such consent not to be unreasonably withheld or delayed) shall be required for any assignment that increases the obligation of the assignee to participate in exposure under one or more Letters of Credit (whether or not then outstanding).</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1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The parties to each assignment shall execute and deliver to the Administrative Agent an Assignment and Assumption Agreement, together with a processing and recordation fee of $3,500, and the assignee, if it is not a Lender, shall deliver to the Administrative Agent an Administrative Questionnaire.</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5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(A) to any Borrower or any of the Borrower’s Affiliates or Subsidiaries or (B) to any Defaulting Lender or any of its Subsidiaries, or any Person who, upon becoming a Lender hereunder, would constitute a Defaulting Lender or a Subsidiary thereof.</w:t>
      </w:r>
    </w:p>
    <w:p>
      <w:pPr>
        <w:spacing w:after="0" w:line="175" w:lineRule="exact"/>
        <w:rPr>
          <w:rFonts w:ascii="Times New Roman" w:cs="Times New Roman" w:eastAsia="Times New Roman" w:hAnsi="Times New Roman"/>
          <w:sz w:val="18"/>
          <w:szCs w:val="18"/>
          <w:color w:val="auto"/>
        </w:rPr>
      </w:pPr>
    </w:p>
    <w:p>
      <w:pPr>
        <w:ind w:right="400" w:firstLine="1952"/>
        <w:spacing w:after="0" w:line="282" w:lineRule="auto"/>
        <w:tabs>
          <w:tab w:leader="none" w:pos="260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specified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 Loan Lender and each other Lender hereunder (and interest accrued thereon), and (y) acquire (and fund as appropriate) its full pro rata share of all Loans and participations in Letters of Credit and Swing Loans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both"/>
        <w:ind w:firstLine="1952"/>
        <w:spacing w:after="0" w:line="253" w:lineRule="auto"/>
        <w:tabs>
          <w:tab w:leader="none" w:pos="262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Release</w:t>
      </w:r>
      <w:r>
        <w:rPr>
          <w:rFonts w:ascii="Times New Roman" w:cs="Times New Roman" w:eastAsia="Times New Roman" w:hAnsi="Times New Roman"/>
          <w:sz w:val="18"/>
          <w:szCs w:val="18"/>
          <w:color w:val="auto"/>
        </w:rPr>
        <w:t>. Subject to acceptance and recording thereof by the Administrative Agent pursuant to Section 11.8.3 [Register],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Sections 4.4 [Rate Unascertainable; Etc.], 5.8 [Increased Costs], and 11.3 [Expenses, Indemnity; Damage Waiver]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11.8.2 shall be treated for purposes of this Agreement as a sale by such Lender of a participation in such rights and obligations in accordance with Section 11.8.4 [Participations].</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11.8.3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Administrative Agent, acting solely for this purpose as an agent of the Borrowers, shall maintain a copy of each Assignment and Assumption Agreement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11.8.4 </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the Borrowers or any of the Borrowers’ Affiliates or Subsidiaries)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Issuing Lender shall continue to deal solely and directly with such Lender in connection with such Lender's rights and obligations under this Agreement. For the avoidance of doubt, each Lender shall be responsible for the indemnity under Section 11.3 [Expenses; Indemnity; Damage Waiver] with respect to any payments made by such Lender to its Participant(s).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(other than as is already provided for herein) to any amendment, modification or waiver with respect to Sections 11.1.1 [Increase of Commitment], 11.1.2 [Extension of Payment, Etc.], or 11.1.3 [Release of Guarantor]) that affects such Participant. The Borrowers agree that each Participant shall be entitled to the benefits of Sections 4.4 [Rate Unascertainable, Etc.], 5.8[Increased Costs], 5.10 [Indemnity] and 5.9 [Taxes] (subject to the requirements and limitations therein, including the requirements under Section 5.9.7 [Status of Lenders] (it being understood that the documentation required under Section 5.9.7 [Status of Lenders] shall be delivered to the participating Lender)) to the same extent as if it were a Lender and had acquired its interest by assignment pursuant to Section 11.8.2 [Assignments by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 5.13 [Replacement of a Lender] and Section 5.14 [Designation of a Different Lending Office] as if it were an assignee under Section 11.8.2 [Assignments by Lenders]; and (B) shall not be entitled to receive any greater payment under Sections 5.8 [Increased Costs] or 5.9 [Taxes],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Section 5.13 [Replacement of a Lender] and Section 5.14 [Designation of Different Lending Office] with respect to any Participant. To the extent permitted by law, each Participant also shall be entitled to the benefits of Section 9.2.3 [Set-off]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Section 5.3 [Sharing of Payments by Lenders] as though it were a Lender. 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11.8.5 </w:t>
      </w:r>
      <w:r>
        <w:rPr>
          <w:rFonts w:ascii="Times New Roman" w:cs="Times New Roman" w:eastAsia="Times New Roman" w:hAnsi="Times New Roman"/>
          <w:sz w:val="18"/>
          <w:szCs w:val="18"/>
          <w:u w:val="single" w:color="auto"/>
          <w:color w:val="auto"/>
        </w:rPr>
        <w:t>Certain Pledges; Successors and Assigns Generally.</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11.8.6 </w:t>
      </w:r>
      <w:r>
        <w:rPr>
          <w:rFonts w:ascii="Times New Roman" w:cs="Times New Roman" w:eastAsia="Times New Roman" w:hAnsi="Times New Roman"/>
          <w:sz w:val="18"/>
          <w:szCs w:val="18"/>
          <w:u w:val="single" w:color="auto"/>
          <w:color w:val="auto"/>
        </w:rPr>
        <w:t>Cashless Settlement.</w:t>
      </w:r>
      <w:r>
        <w:rPr>
          <w:rFonts w:ascii="Times New Roman" w:cs="Times New Roman" w:eastAsia="Times New Roman" w:hAnsi="Times New Roman"/>
          <w:sz w:val="18"/>
          <w:szCs w:val="18"/>
          <w:color w:val="auto"/>
        </w:rPr>
        <w:t xml:space="preserve">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11.8.7 </w:t>
      </w:r>
      <w:r>
        <w:rPr>
          <w:rFonts w:ascii="Times New Roman" w:cs="Times New Roman" w:eastAsia="Times New Roman" w:hAnsi="Times New Roman"/>
          <w:sz w:val="18"/>
          <w:szCs w:val="18"/>
          <w:u w:val="single" w:color="auto"/>
          <w:color w:val="auto"/>
        </w:rPr>
        <w:t>Arrangers/Bookrunners.</w:t>
      </w:r>
      <w:r>
        <w:rPr>
          <w:rFonts w:ascii="Times New Roman" w:cs="Times New Roman" w:eastAsia="Times New Roman" w:hAnsi="Times New Roman"/>
          <w:sz w:val="18"/>
          <w:szCs w:val="18"/>
          <w:color w:val="auto"/>
        </w:rPr>
        <w:t xml:space="preserve"> Notwithstanding anything to the contrary contained in this Agreement, the name of any arranger and/or bookrunner listed on the cover page of this Agreement may be changed by the Administrative Agent to the name of any Lender or Lender’s broker-dealer Affiliate, upon written request to the Administrative Agent by any such arranger and/or bookrunner and the applicable Lender or Lender’s broker-deal Affiliate.</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u w:val="single" w:color="auto"/>
          <w:color w:val="auto"/>
        </w:rPr>
        <w:t>Confidentiality.</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11.9.1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Each of the Administrative Agent, the Lenders and the Issuing Lender agree to maintain the confidentiality of the Information (as defined below), except that Information may be disclosed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(B) any actual or prospective party (or its Related Parties) to any swap, derivative or other transaction under which payments are to be made by reference to the Borrowers and their obligations, this Agreement or payments hereunder (vii) with the consent of the Borrowers or (viii) to the extent such Information (Y) becomes publicly available other than as a result of a breach of this Section or (Z) becomes available to the Administrative Agent, any Lender, the Issuing Lender or any of their respective Affiliates on a nonconfidential basis from a source other than the Borrowers or the other Loan Parties.</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received from the Borrowers or any of their Subsidiaries in connection with the transactions contemplated by this Agreement and the other Loan Documents relating to the Borrowers or any of its Subsidiaries or any of their respective businesses, other than any such information that is available to the Administrative Agent, any Lender or any Issuing Lender on a nonconfidential basis prior to disclosure by the Borrower or any of its Subsidiaries.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in this Section shall prohibit any Person from voluntarily communicating, disclosing or providing information within the scope of the confidentiality provisions of this Section regarding suspected violations of laws, rules, or regulations to a governmental, regulatory or self-regulatory organization without any notification to any Person.</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11.9.2 </w:t>
      </w:r>
      <w:r>
        <w:rPr>
          <w:rFonts w:ascii="Times New Roman" w:cs="Times New Roman" w:eastAsia="Times New Roman" w:hAnsi="Times New Roman"/>
          <w:sz w:val="18"/>
          <w:szCs w:val="18"/>
          <w:u w:val="single" w:color="auto"/>
          <w:color w:val="auto"/>
        </w:rPr>
        <w:t>Sharing Information With Affiliates of the Lenders</w:t>
      </w:r>
      <w:r>
        <w:rPr>
          <w:rFonts w:ascii="Times New Roman" w:cs="Times New Roman" w:eastAsia="Times New Roman" w:hAnsi="Times New Roman"/>
          <w:sz w:val="18"/>
          <w:szCs w:val="18"/>
          <w:color w:val="auto"/>
        </w:rPr>
        <w:t>. Each Loan Party acknowledges that from time to time financial advisory, investment banking and other services may be offered or provided to the Borrowers or one or more of its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to any such Subsidiary or Affiliate subject to the provisions of Section 11.9.1 [General]. Each Loan Party consents to the publication by the Administrative Agent or any Lender of customary advertising material relating to the transactions contemplated hereby using the name, product, photographs, logo or trademark of such Loan Party. In addition,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8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u w:val="single" w:color="auto"/>
          <w:color w:val="auto"/>
        </w:rPr>
        <w:t>Counterparts; Integration; Effectiveness; Electronic Execution.</w:t>
      </w:r>
    </w:p>
    <w:p>
      <w:pPr>
        <w:spacing w:after="0" w:line="225" w:lineRule="exact"/>
        <w:rPr>
          <w:sz w:val="20"/>
          <w:szCs w:val="20"/>
          <w:color w:val="auto"/>
        </w:rPr>
      </w:pPr>
    </w:p>
    <w:p>
      <w:pPr>
        <w:jc w:val="both"/>
        <w:ind w:firstLine="1296"/>
        <w:spacing w:after="0" w:line="218" w:lineRule="exact"/>
        <w:rPr>
          <w:sz w:val="20"/>
          <w:szCs w:val="20"/>
          <w:color w:val="auto"/>
        </w:rPr>
      </w:pPr>
      <w:r>
        <w:rPr>
          <w:rFonts w:ascii="Times New Roman" w:cs="Times New Roman" w:eastAsia="Times New Roman" w:hAnsi="Times New Roman"/>
          <w:sz w:val="18"/>
          <w:szCs w:val="18"/>
          <w:color w:val="auto"/>
        </w:rPr>
        <w:t xml:space="preserve">11.10.1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Section 7 [Conditions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shall be effective as delivery of a manually executed counterpart of this Agreement.</w:t>
      </w:r>
    </w:p>
    <w:p>
      <w:pPr>
        <w:spacing w:after="0" w:line="20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11.10.2 </w:t>
      </w:r>
      <w:r>
        <w:rPr>
          <w:rFonts w:ascii="Times New Roman" w:cs="Times New Roman" w:eastAsia="Times New Roman" w:hAnsi="Times New Roman"/>
          <w:sz w:val="18"/>
          <w:szCs w:val="18"/>
          <w:u w:val="single" w:color="auto"/>
          <w:color w:val="auto"/>
        </w:rPr>
        <w:t>Electronic Execution</w:t>
      </w:r>
      <w:r>
        <w:rPr>
          <w:rFonts w:ascii="Times New Roman" w:cs="Times New Roman" w:eastAsia="Times New Roman" w:hAnsi="Times New Roman"/>
          <w:sz w:val="18"/>
          <w:szCs w:val="18"/>
          <w:color w:val="auto"/>
        </w:rPr>
        <w:t>.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u w:val="single" w:color="auto"/>
          <w:color w:val="auto"/>
        </w:rPr>
        <w:t>CHOICE OF LAW; SUBMISSION TO JURISDICTION; WAIVER OF VENUE; SERVICE OF PROCESS; WAIVER OF JURY TRIAL.</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shall be deemed to be a contract under the Laws of the State of New York without regard to its conflict of laws principles. Each standby Letter of Credit issued under this Agreement shall be subject either to the rules of the UCP or the rules of the ISP, as determined by the Issuing Lender, and each trade Letter of Credit shall be subject to UCP, and in each case to the extent not inconsistent therewith, the Laws of the State of New York without regard to its conflict of laws principles.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11.11.2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BORROWER AND EACH OTHER LOAN PARTY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LENDER MAY OTHERWISE HAVE TO BRING ANY ACTION OR PROCEEDING RELATING TO THIS AGREEMENT OR ANY OTHER LOAN DOCUMENT AGAINST THE BORROWERS OR ANY OTHER LOAN PARTY OR ITS PROPERTIES IN THE COURTS OF ANY JURISDICTION.</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11.11.3 </w:t>
      </w: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SECTION 11.11. EACH OF THE PARTIES HERETO HEREBY IRREVOCABLY WAIVES, TO THE FULLEST EXTENT PERMITTED BY APPLICABLE LAW, THE DEFENSE OF AN INCONVENIENT FORUM TO THE MAINTENANCE OF SUCH ACTION OR PROCEEDING IN ANY SUCH COURT AND AGREES NOT ASSERT ANY SUCH DEFENSE.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11.11.4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SECTION 11.5 [NOTICES; EFFECTIVENESS; ELECTRONIC COMMUNICATION]. NOTHING IN THIS AGREEMENT WILL AFFECT THE RIGHT OF ANY PARTY HERETO TO SERVE PROCESS IN ANY OTHER MANNER PERMITTED BY APPLICABLE LAW.</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11.11.5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53" w:lineRule="auto"/>
        <w:tabs>
          <w:tab w:leader="none" w:pos="30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xml:space="preserve"> 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Borrower Agent.</w:t>
      </w:r>
      <w:r>
        <w:rPr>
          <w:rFonts w:ascii="Times New Roman" w:cs="Times New Roman" w:eastAsia="Times New Roman" w:hAnsi="Times New Roman"/>
          <w:sz w:val="18"/>
          <w:szCs w:val="18"/>
          <w:color w:val="auto"/>
        </w:rPr>
        <w:t xml:space="preserve"> Each of the Borrowers hereby irrevocably appoints the Company as its agent (the “</w:t>
      </w:r>
      <w:r>
        <w:rPr>
          <w:rFonts w:ascii="Times New Roman" w:cs="Times New Roman" w:eastAsia="Times New Roman" w:hAnsi="Times New Roman"/>
          <w:sz w:val="18"/>
          <w:szCs w:val="18"/>
          <w:b w:val="1"/>
          <w:bCs w:val="1"/>
          <w:color w:val="auto"/>
        </w:rPr>
        <w:t>Borrower Agent</w:t>
      </w:r>
      <w:r>
        <w:rPr>
          <w:rFonts w:ascii="Times New Roman" w:cs="Times New Roman" w:eastAsia="Times New Roman" w:hAnsi="Times New Roman"/>
          <w:sz w:val="18"/>
          <w:szCs w:val="18"/>
          <w:color w:val="auto"/>
        </w:rPr>
        <w:t>”) for purposes of requesting, continuing and converting Loans (including all elections of interest rates and currencies), for delivering notices as to prepayments and commitment reductions and for providing consents pursuant to clauses (i) and (iii) of Section 11.8.2 [Assignments by Lenders]. The Administrative Agent shall be entitled to rely in such matters on all communications delivered by the Borrower Agent as being delivered on behalf of all Borrowers.</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7"/>
          <w:szCs w:val="17"/>
          <w:u w:val="single" w:color="auto"/>
          <w:color w:val="auto"/>
        </w:rPr>
        <w:t>Joint and Several Obligations of Borrowers.</w:t>
      </w:r>
    </w:p>
    <w:p>
      <w:pPr>
        <w:spacing w:after="0" w:line="225" w:lineRule="exact"/>
        <w:rPr>
          <w:sz w:val="20"/>
          <w:szCs w:val="20"/>
          <w:color w:val="auto"/>
        </w:rPr>
      </w:pPr>
    </w:p>
    <w:p>
      <w:pPr>
        <w:jc w:val="both"/>
        <w:ind w:right="20" w:firstLine="1304"/>
        <w:spacing w:after="0" w:line="266" w:lineRule="auto"/>
        <w:tabs>
          <w:tab w:leader="none" w:pos="19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each other Borrower to accept joint and several liability for the Obligations under the Loan Documents.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both"/>
        <w:ind w:firstLine="1304"/>
        <w:spacing w:after="0" w:line="261" w:lineRule="auto"/>
        <w:tabs>
          <w:tab w:leader="none" w:pos="204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jointly and severally, hereby irrevocably and unconditionally accepts, not merely as a surety but also as a co-debtor, joint and several liability with any other Borrower, with respect to the payment and performance of all of the Obligations under the Loan Documents, it being the intention of the parties hereto that all the Obligations under the Loan Documents shall be the joint and several obligations of each Borrower without preferences or distinction among them.</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any Borrower shall fail to make any payment with respect to any of the Obligations under the Loan Documents as and when due or to perform any of the Obligations under the Loan Documents in accordance with the terms thereof, then in each such event any other Borrower will make such payment with respect to, or perform, such Obligation.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Borrower under the provisions of this Section constitute the full recourse obligations of such Borrower enforceable against each Borrower to the full extent of its properties and assets, irrespective of the validity, regularity or enforceability of this Agreement or the other Loan Documents or any other circumstance whatsoever as to any other Borrower.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both"/>
        <w:ind w:firstLine="1304"/>
        <w:spacing w:after="0" w:line="251" w:lineRule="auto"/>
        <w:tabs>
          <w:tab w:leader="none" w:pos="199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each Borrower hereby waives promptness, diligence, presentment, demand, protest, notice of acceptance of its joint and several liability, notice of occurrence of any Potential Default or Event of Default, or of any demand for any payment under this Agreement, notice of any action at any time taken or omitted by the Administrative Agent or any Lender or under or in respect of any of the Obligations hereunder, any requirement of diligence in connection with this Agreement and the other Loan Documents. To the extent permitted by applicable Law, each Borrower hereby waives all defenses which may be available by virtue of any valuation, stay, moratorium Law or other similar Law now or hereafter in effect, any right to require the marshaling of assets of the Borrowers and any other entity or Person primarily or secondarily liable with respect to any of the Obligations, and all suretyship defenses generally. Each Borrower hereby assents to, and to the extent permitted by applicable Law, waives notice of, any extension or postponement of the time for the payment, or place or manner for payment, compromise, refinancing, consolidation or renewals of any of the Obligations hereunder, the acceptance of any partial payment thereon, any waiver, consent or other action or acquiescence by the Administrative Agent or any Lender at any time or times in respect of any default by any Borrower in the performance or satisfaction of any term, covenant, condition or provision of this Agreement and the other Loan Documents, any and all other indulgences whatsoever by the Administrative Agent or any Lender in respect of any of the Obligations hereunder, and the taking, addition, substitution or release, in whole or in part, at any time or times, of any security for any of such Obligations or the addition, substitution or release, in whole or in part, of any Borrower or any other entity or Person primarily or secondarily liable for any Obligation Such Borrower further agrees that, to the extent permitted by applicable Law, its Obligations shall not be released or discharged, in whole or in part, or otherwise affected by the adequacy of any rights which the Administrative Agent or any Lender may have against any collateral or other means of obtaining repayment of any of the Obligations, the impairment of any collateral securing the Obligations, including, without limitation, the failure to protect or preserve any rights which the Administrative Agent or any Lender may have in such collateral or the substitution, exchange, surrender, release, loss or destruction of any such collateral, any other act or omission which might in any manner or to any extent vary the risk of such Borrower, or otherwise operate as a release or discharge of such Borrower, all of which may be done without notice to such Borrower. If for any reason any Borrower has no legal existence or is under no legal obligation to discharge any of the Obligations hereunder, or if any of the Obligations hereunder have become unrecoverable from any Borrower by reason of any other Borrower’s insolvency, bankruptcy or reorganization or by other operation of law or for any reason, this Agreement and the other Loan Documents to which it is a party shall nevertheless be binding on such Borrower to the same extent as if such Borrower at all times had been the sole obligor on such Obligations. Without limiting the generality of the foregoing, each Borrower (if more than one) assents to any other action or delay in acting or failure to act on the part of the Administrative Agent or any Lender which might, but for the provisions of this Section, afford grounds for terminating, discharging or relieving such Borrower, in whole or in part, from any of its obligations under this Section, it being the intention of Borrowers that, so long as any of the Obligations hereunder remain unsatisfied, the obligations of such Borrower under this Section shall not be discharged except by performance and then only to the extent of such performance. The Obligations of each Borrower under this Section shall not be diminished or rendered unenforceable by any winding up, reorganization, amalgamation, arrangement, liquidation, reconstruction or similar proceeding with respect to any reconstruction or similar proceeding with respect to any other Borrower, the Administrative Agent or any Lender. The joint and several liability of each Borrower hereunder shall continue in full force and effect notwithstanding any absorption, merger, amalgamation or any other change whatsoever in the name, ownership, membership, constitution or place of formation of any Borrower, the Administrative Agent or any Lender. Each Borrower acknowledges and confirms that it has established its own adequate means of obtaining from each other Borrower on a continuing basis all information desired by such Borrower concerning the financial condition of each other Borrower and that each such Borrower will look to each other Borrower and not to the Administrative Agent or any Lender for such Borrower to keep adequately informed of changes in each of the other Borrower’s respective financial conditions.</w:t>
      </w:r>
    </w:p>
    <w:p>
      <w:pPr>
        <w:spacing w:after="0" w:line="19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are made for the benefit of the Administrative Agent and the Lenders and their respective successors and assigns, and may be enforced by it or them from time to time against any or all of the Borrowers as often as occasion therefor may arise and without requirement on the part of the Administrative Agent or the Lenders or any successor or assign first to marshal any of its or their claims or to exercise any of its or their rights against any of the other Borrowers or to exhaust any remedies available to it or them against any of the other Borrowers or to resort to any other source or means of obtaining payment of any of the Obligations hereunder or to elect any other remedy. The provisions of this Section shall remain in effect until Payment In Full. If at any time, any payment, or any part thereof, made in respect of any of the Obligations, is rescinded or must otherwise be restored or returned by the Administrative Agent and the Lenders upon the insolvency, bankruptcy or reorganization of any of the Borrowers, or otherwise, the provisions of this Section will forthwith be reinstated in effect, as though such payment had not been made.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both"/>
        <w:ind w:firstLine="1304"/>
        <w:spacing w:after="0" w:line="254" w:lineRule="auto"/>
        <w:tabs>
          <w:tab w:leader="none" w:pos="198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that it will not enforce any of its rights of reimbursement, contribution, subrogation or the like against any other Borrower with respect to any liability incurred by it hereunder or under any of the other Loan Documents, any payments made by it to the Administrative Agent and the Lenders with respect to any of the Obligations under the Loan Documents or any collateral therefor until Payment In Full. Any claim which any Borrower may have against any other Borrower with respect to any payments to Lender hereunder or under any other Loan Documents are hereby expressly made subordinate and junior in right of payment, including without limitation as to any increases in the Obligations arising hereunder or thereunder, to Payment In Full and, in the event of any insolvency, bankruptcy, receivership, liquidation, reorganization or other similar proceeding under the laws of any jurisdiction relating to any Borrower, its debts or its assets, whether voluntary or involuntary, Payment In Full shall occur before any payment or distribution of any character, whether in cash, securities or other property, shall be made to any other Borrower therefor.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xml:space="preserve"> To the extent that the Loan Documents provide support, through a guarantee or otherwise, for Swaps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both"/>
        <w:ind w:firstLine="1304"/>
        <w:spacing w:after="0" w:line="254" w:lineRule="auto"/>
        <w:tabs>
          <w:tab w:leader="none" w:pos="18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QFC Covered Entity/Bank/FSI that is party to a Supported QFC (each, a “</w:t>
      </w:r>
      <w:r>
        <w:rPr>
          <w:rFonts w:ascii="Times New Roman" w:cs="Times New Roman" w:eastAsia="Times New Roman" w:hAnsi="Times New Roman"/>
          <w:sz w:val="18"/>
          <w:szCs w:val="18"/>
          <w:b w:val="1"/>
          <w:bCs w:val="1"/>
          <w:color w:val="auto"/>
        </w:rPr>
        <w:t>QFC 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QFC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QFC Covered Party or a BHC Act Affiliate of a QFC Covered Party becomes subject to a proceeding under a U.S. Special Resolution Regime, Default Rights under the Loan Documents that might otherwise apply to such Supported QFC or any QFC Credit Support that may be exercised against such QFC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QFC Covered Party with respect to a Supported QFC or any QFC Credit Support.</w:t>
      </w:r>
    </w:p>
    <w:p>
      <w:pPr>
        <w:spacing w:after="0" w:line="18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11.16, the following terms have the following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of a party means an “affiliate” (as such term is defined under, and interpreted in accordance with, 12 U.S.C.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“QFC Covered Entity/Bank/FSI”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“QFC” has the meaning assigned to the term “qualified financial contract” in, and shall be interpreted in accordance with, 12 U.S.C.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u w:val="single" w:color="auto"/>
          <w:color w:val="auto"/>
        </w:rPr>
        <w:t>Amendment and Restatement, No Novation.</w:t>
      </w:r>
      <w:r>
        <w:rPr>
          <w:rFonts w:ascii="Times New Roman" w:cs="Times New Roman" w:eastAsia="Times New Roman" w:hAnsi="Times New Roman"/>
          <w:sz w:val="18"/>
          <w:szCs w:val="18"/>
          <w:color w:val="auto"/>
        </w:rPr>
        <w:t xml:space="preserve"> This Agreement amends and restates in its entirety the Existing Credit Agreement, and each Loan Party confirms that the Existing Credit Agreement and the other Loan Documents (as defined in the Existing Credit Agreement) have at all times, since the date of the execution and delivery of such documents, remained in full force and effect. The Loans hereunder are a continuation of the Loans under (and as such term is defined in) the Existing Credit Agreement. On the Closing Date the commitments, loans and participations in Letters of Credit in effect and outstanding under the Existing Credit Agreement shall be reallocated by the Administrative Agent to the Lenders in accordance with the Revolving Credit Commitments set forth in Schedule 1.1(B). The Borrowers, the Administrative Agent, and the Lenders acknowledge and agree that the amendment and restatement of the Existing Credit Agreement and any Loan Documents expressly amended by this Agreement is not intended to constitute, nor does it constitute, a novation, interruption, suspension of continuity, satisfaction, discharge or termination of the obligations, loans, liabilities, or indebtedness under the Existing Credit Agreement and other Loan Documents thereunder, and this Agreement and the other Loan Documents are entitled to all rights and benefits originally pertaining to the Existing Credit Agreement and the other Loan Documents (as defined in the Existing Credit Agreement).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9" w:name="page200"/>
    <w:bookmarkEnd w:id="199"/>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7"/>
          <w:szCs w:val="17"/>
          <w:u w:val="single" w:color="auto"/>
          <w:color w:val="auto"/>
        </w:rPr>
        <w:t>No Fiduciary Duty.</w:t>
      </w:r>
    </w:p>
    <w:p>
      <w:pPr>
        <w:spacing w:after="0" w:line="225" w:lineRule="exact"/>
        <w:rPr>
          <w:sz w:val="20"/>
          <w:szCs w:val="20"/>
          <w:color w:val="auto"/>
        </w:rPr>
      </w:pPr>
    </w:p>
    <w:p>
      <w:pPr>
        <w:jc w:val="both"/>
        <w:ind w:firstLine="1952"/>
        <w:spacing w:after="0" w:line="252" w:lineRule="auto"/>
        <w:tabs>
          <w:tab w:leader="none" w:pos="257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all aspects of each transaction contemplated hereby, each Loan Party acknowledges and agrees, and acknowledges its Affiliates’ understanding, that (a)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its Affiliates, on the one hand, and the Administrative Agent, the Lead Arranger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(b) in connection with the process leading to such transaction, each of the Administrative Agent, the Lead Arranger and the Lenders is and has been acting solely as a principal and is not the financial advisor, agent or fiduciary, for the Borrowers or any of their Affiliates, stockholders, creditors or employees or any other Person, (c) none of the Administrative Agent, the Lead Arranger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Lead Arranger or any Lender has advised or is currently advising the Borrowers or any of their Affiliates on other matters) and none of the Administrative Agent, the Lead Arranger or the Lenders has any obligation to the Borrowers or any of their Affiliates with respect to the financing transactions contemplated hereby except those obligations expressly set forth herein and in the other Loan Documents, (d) the Lead Arranger and the Lenders and their respective Affiliates may be engaged in a broad range of transactions that involve interests that differ from, and may conflict with, those of the Borrowers and their Affiliates, and none of the Administrative Agent, the Lead Arranger or the Lenders has any obligation to disclose any of such interests by virtue of any advisory, agency or fiduciary relationship and (e) the Administrative Agent, the Lead Arranger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jc w:val="both"/>
        <w:ind w:left="-20" w:firstLine="1952"/>
        <w:spacing w:after="0" w:line="255" w:lineRule="auto"/>
        <w:tabs>
          <w:tab w:leader="none" w:pos="269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acknowledges and agrees that each Lender, the Lead Arranger and any Affiliate thereof may lend money to, invest in, and generally engage in any kind of business with, any of the Borrowers or any Affiliate thereof or any other person or entity that may do business with or own securities of any of the foregoing, all as if such Lender, Lead Arranger or Affiliate thereof were not a Lender or Lead Arranger or an Affiliate thereof (or an agent or any other person with any similar role under the credit facilities) and without any duty to account therefor to any other Lender, the Lead Arranger, any Borrower or any Affiliate of the foregoing. Each Lender, the Lead Arranger and any Affiliate thereof may accept fees and other consideration from the Borrowers or any Affiliate thereof for services in connection with this Agreement, the credit facilities or otherwise without having to account for the same to any other Lender, the Lead Arranger, the Borrowers or any Affiliate of the foregoing.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01" w:name="page202"/>
    <w:bookmarkEnd w:id="201"/>
    <w:p>
      <w:pPr>
        <w:jc w:val="center"/>
        <w:ind w:right="-33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by their officers thereunto duly authorized, have executed this Agreement as of the day and year first above written.</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BORROWERS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Jonathan M. Rothe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M. Rothe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JOHNSON OUTDOORS WATERCRAFT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Jonathan M. Rothe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M. Rothe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Secretary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JOHNSON OUTDOORS MARINE ELECTRONICS,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Jonathan M. Rothe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M. Rothe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JOHNSON OUTDOORS DIVING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Jonathan M. Rothe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M. Rothe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UNDER SEA INDUSTRIES,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Jonathan M. Rothe</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M. Rothe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JOHNSON OUTDOORS GEAR,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Jonathan M. Rothe</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M. Rothe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3" w:name="page204"/>
    <w:bookmarkEnd w:id="203"/>
    <w:p>
      <w:pPr>
        <w:jc w:val="center"/>
        <w:ind w:right="240"/>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33" w:lineRule="exact"/>
        <w:rPr>
          <w:sz w:val="20"/>
          <w:szCs w:val="20"/>
          <w:color w:val="auto"/>
        </w:rPr>
      </w:pPr>
    </w:p>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individually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w:t>
      </w:r>
    </w:p>
    <w:p>
      <w:pPr>
        <w:spacing w:after="0" w:line="1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Jacob Kessenich</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Jacob Kessenich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40"/>
          </w:cols>
          <w:pgMar w:left="1440" w:top="121" w:right="1219" w:bottom="1440" w:gutter="0" w:footer="0" w:header="0"/>
        </w:sectPr>
      </w:pPr>
    </w:p>
    <w:bookmarkStart w:id="204" w:name="page205"/>
    <w:bookmarkEnd w:id="204"/>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ASSOCIATED BANK, N.A.</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Daniel Holzhauer</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Daniel Holzhauer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color w:val="auto"/>
        </w:rPr>
        <w:t>Title: Senior Vice President – Team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SCHEDULE 1.1(A)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GRID--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VARIABLE PRICING AND FEES BASED ON NET LEVERAGE RATIO</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600" w:type="dxa"/>
            <w:vAlign w:val="bottom"/>
            <w:tcBorders>
              <w:top w:val="single" w:sz="8" w:color="auto"/>
              <w:left w:val="single" w:sz="8" w:color="auto"/>
              <w:right w:val="single" w:sz="8" w:color="auto"/>
            </w:tcBorders>
          </w:tcPr>
          <w:p>
            <w:pPr>
              <w:spacing w:after="0"/>
              <w:rPr>
                <w:sz w:val="19"/>
                <w:szCs w:val="19"/>
                <w:color w:val="auto"/>
              </w:rPr>
            </w:pPr>
          </w:p>
        </w:tc>
        <w:tc>
          <w:tcPr>
            <w:tcW w:w="3960" w:type="dxa"/>
            <w:vAlign w:val="bottom"/>
            <w:tcBorders>
              <w:top w:val="single" w:sz="8" w:color="auto"/>
              <w:right w:val="single" w:sz="8" w:color="auto"/>
            </w:tcBorders>
          </w:tcPr>
          <w:p>
            <w:pPr>
              <w:spacing w:after="0"/>
              <w:rPr>
                <w:sz w:val="19"/>
                <w:szCs w:val="19"/>
                <w:color w:val="auto"/>
              </w:rPr>
            </w:pPr>
          </w:p>
        </w:tc>
        <w:tc>
          <w:tcPr>
            <w:tcW w:w="182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Letter of</w:t>
            </w:r>
          </w:p>
        </w:tc>
        <w:tc>
          <w:tcPr>
            <w:tcW w:w="168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84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Revolving Credit</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3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Leverage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6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Base</w:t>
            </w:r>
          </w:p>
        </w:tc>
        <w:tc>
          <w:tcPr>
            <w:tcW w:w="18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Term SOFR Rate</w:t>
            </w:r>
          </w:p>
        </w:tc>
        <w:tc>
          <w:tcPr>
            <w:tcW w:w="0" w:type="dxa"/>
            <w:vAlign w:val="bottom"/>
          </w:tcPr>
          <w:p>
            <w:pPr>
              <w:spacing w:after="0"/>
              <w:rPr>
                <w:sz w:val="1"/>
                <w:szCs w:val="1"/>
                <w:color w:val="auto"/>
              </w:rPr>
            </w:pPr>
          </w:p>
        </w:tc>
      </w:tr>
      <w:tr>
        <w:trPr>
          <w:trHeight w:val="238"/>
        </w:trPr>
        <w:tc>
          <w:tcPr>
            <w:tcW w:w="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Level</w:t>
            </w:r>
          </w:p>
        </w:tc>
        <w:tc>
          <w:tcPr>
            <w:tcW w:w="3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6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Rate Spread</w:t>
            </w:r>
          </w:p>
        </w:tc>
        <w:tc>
          <w:tcPr>
            <w:tcW w:w="18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Spread</w:t>
            </w: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39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3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Less than 1.00 to 1.00</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0.200%</w:t>
            </w:r>
          </w:p>
        </w:tc>
        <w:tc>
          <w:tcPr>
            <w:tcW w:w="13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1.250%</w:t>
            </w:r>
          </w:p>
        </w:tc>
        <w:tc>
          <w:tcPr>
            <w:tcW w:w="16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0.250%</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194"/>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II</w:t>
            </w:r>
          </w:p>
        </w:tc>
        <w:tc>
          <w:tcPr>
            <w:tcW w:w="39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Greater than or equal to 1.00 to 1.00 but less</w:t>
            </w:r>
          </w:p>
        </w:tc>
        <w:tc>
          <w:tcPr>
            <w:tcW w:w="18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0.225%</w:t>
            </w:r>
          </w:p>
        </w:tc>
        <w:tc>
          <w:tcPr>
            <w:tcW w:w="134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1.375%</w:t>
            </w:r>
          </w:p>
        </w:tc>
        <w:tc>
          <w:tcPr>
            <w:tcW w:w="168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0.375%</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130"/>
        </w:trPr>
        <w:tc>
          <w:tcPr>
            <w:tcW w:w="600" w:type="dxa"/>
            <w:vAlign w:val="bottom"/>
            <w:tcBorders>
              <w:left w:val="single" w:sz="8" w:color="auto"/>
              <w:right w:val="single" w:sz="8" w:color="auto"/>
            </w:tcBorders>
            <w:vMerge w:val="continue"/>
          </w:tcPr>
          <w:p>
            <w:pPr>
              <w:spacing w:after="0"/>
              <w:rPr>
                <w:sz w:val="11"/>
                <w:szCs w:val="11"/>
                <w:color w:val="auto"/>
              </w:rPr>
            </w:pPr>
          </w:p>
        </w:tc>
        <w:tc>
          <w:tcPr>
            <w:tcW w:w="3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than 1.50 to 1.00</w:t>
            </w:r>
          </w:p>
        </w:tc>
        <w:tc>
          <w:tcPr>
            <w:tcW w:w="182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tc>
        <w:tc>
          <w:tcPr>
            <w:tcW w:w="3960" w:type="dxa"/>
            <w:vAlign w:val="bottom"/>
            <w:tcBorders>
              <w:right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Greater than or equal to 1.50 to 1.00 but less</w:t>
            </w:r>
          </w:p>
        </w:tc>
        <w:tc>
          <w:tcPr>
            <w:tcW w:w="1820" w:type="dxa"/>
            <w:vAlign w:val="bottom"/>
            <w:tcBorders>
              <w:right w:val="single" w:sz="8" w:color="auto"/>
            </w:tcBorders>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0.250%</w:t>
            </w:r>
          </w:p>
        </w:tc>
        <w:tc>
          <w:tcPr>
            <w:tcW w:w="1340" w:type="dxa"/>
            <w:vAlign w:val="bottom"/>
            <w:tcBorders>
              <w:right w:val="single" w:sz="8" w:color="auto"/>
            </w:tcBorders>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1.500%</w:t>
            </w:r>
          </w:p>
        </w:tc>
        <w:tc>
          <w:tcPr>
            <w:tcW w:w="1680" w:type="dxa"/>
            <w:vAlign w:val="bottom"/>
            <w:tcBorders>
              <w:right w:val="single" w:sz="8" w:color="auto"/>
            </w:tcBorders>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0.500%</w:t>
            </w:r>
          </w:p>
        </w:tc>
        <w:tc>
          <w:tcPr>
            <w:tcW w:w="18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30"/>
        </w:trPr>
        <w:tc>
          <w:tcPr>
            <w:tcW w:w="60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3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than 2.00 to 1.00</w:t>
            </w:r>
          </w:p>
        </w:tc>
        <w:tc>
          <w:tcPr>
            <w:tcW w:w="1820" w:type="dxa"/>
            <w:vAlign w:val="bottom"/>
            <w:tcBorders>
              <w:right w:val="single" w:sz="8" w:color="auto"/>
            </w:tcBorders>
            <w:vMerge w:val="continue"/>
            <w:shd w:val="clear" w:color="auto" w:fill="CCEEFF"/>
          </w:tcPr>
          <w:p>
            <w:pPr>
              <w:spacing w:after="0"/>
              <w:rPr>
                <w:sz w:val="11"/>
                <w:szCs w:val="11"/>
                <w:color w:val="auto"/>
              </w:rPr>
            </w:pPr>
          </w:p>
        </w:tc>
        <w:tc>
          <w:tcPr>
            <w:tcW w:w="1340" w:type="dxa"/>
            <w:vAlign w:val="bottom"/>
            <w:tcBorders>
              <w:right w:val="single" w:sz="8" w:color="auto"/>
            </w:tcBorders>
            <w:vMerge w:val="continue"/>
            <w:shd w:val="clear" w:color="auto" w:fill="CCEEFF"/>
          </w:tcPr>
          <w:p>
            <w:pPr>
              <w:spacing w:after="0"/>
              <w:rPr>
                <w:sz w:val="11"/>
                <w:szCs w:val="11"/>
                <w:color w:val="auto"/>
              </w:rPr>
            </w:pPr>
          </w:p>
        </w:tc>
        <w:tc>
          <w:tcPr>
            <w:tcW w:w="1680" w:type="dxa"/>
            <w:vAlign w:val="bottom"/>
            <w:tcBorders>
              <w:right w:val="single" w:sz="8" w:color="auto"/>
            </w:tcBorders>
            <w:vMerge w:val="continue"/>
            <w:shd w:val="clear" w:color="auto" w:fill="CCEEFF"/>
          </w:tcPr>
          <w:p>
            <w:pPr>
              <w:spacing w:after="0"/>
              <w:rPr>
                <w:sz w:val="11"/>
                <w:szCs w:val="11"/>
                <w:color w:val="auto"/>
              </w:rPr>
            </w:pPr>
          </w:p>
        </w:tc>
        <w:tc>
          <w:tcPr>
            <w:tcW w:w="18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shd w:val="clear" w:color="auto" w:fill="CCEEFF"/>
          </w:tcPr>
          <w:p>
            <w:pPr>
              <w:spacing w:after="0"/>
              <w:rPr>
                <w:sz w:val="10"/>
                <w:szCs w:val="10"/>
                <w:color w:val="auto"/>
              </w:rPr>
            </w:pPr>
          </w:p>
        </w:tc>
        <w:tc>
          <w:tcPr>
            <w:tcW w:w="396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820" w:type="dxa"/>
            <w:vAlign w:val="bottom"/>
            <w:tcBorders>
              <w:bottom w:val="single" w:sz="8" w:color="auto"/>
              <w:right w:val="single" w:sz="8" w:color="auto"/>
            </w:tcBorders>
            <w:shd w:val="clear" w:color="auto" w:fill="CCEEFF"/>
          </w:tcPr>
          <w:p>
            <w:pPr>
              <w:spacing w:after="0"/>
              <w:rPr>
                <w:sz w:val="10"/>
                <w:szCs w:val="10"/>
                <w:color w:val="auto"/>
              </w:rPr>
            </w:pPr>
          </w:p>
        </w:tc>
        <w:tc>
          <w:tcPr>
            <w:tcW w:w="1340" w:type="dxa"/>
            <w:vAlign w:val="bottom"/>
            <w:tcBorders>
              <w:bottom w:val="single" w:sz="8" w:color="auto"/>
              <w:right w:val="single" w:sz="8" w:color="auto"/>
            </w:tcBorders>
            <w:shd w:val="clear" w:color="auto" w:fill="CCEEFF"/>
          </w:tcPr>
          <w:p>
            <w:pPr>
              <w:spacing w:after="0"/>
              <w:rPr>
                <w:sz w:val="10"/>
                <w:szCs w:val="10"/>
                <w:color w:val="auto"/>
              </w:rPr>
            </w:pPr>
          </w:p>
        </w:tc>
        <w:tc>
          <w:tcPr>
            <w:tcW w:w="1680" w:type="dxa"/>
            <w:vAlign w:val="bottom"/>
            <w:tcBorders>
              <w:bottom w:val="single" w:sz="8" w:color="auto"/>
              <w:right w:val="single" w:sz="8" w:color="auto"/>
            </w:tcBorders>
            <w:shd w:val="clear" w:color="auto" w:fill="CCEEFF"/>
          </w:tcPr>
          <w:p>
            <w:pPr>
              <w:spacing w:after="0"/>
              <w:rPr>
                <w:sz w:val="10"/>
                <w:szCs w:val="10"/>
                <w:color w:val="auto"/>
              </w:rPr>
            </w:pPr>
          </w:p>
        </w:tc>
        <w:tc>
          <w:tcPr>
            <w:tcW w:w="18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w:t>
            </w:r>
          </w:p>
        </w:tc>
        <w:tc>
          <w:tcPr>
            <w:tcW w:w="39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Greater than or equal to 2.00 to 1.00 but less</w:t>
            </w:r>
          </w:p>
        </w:tc>
        <w:tc>
          <w:tcPr>
            <w:tcW w:w="18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0.275%</w:t>
            </w:r>
          </w:p>
        </w:tc>
        <w:tc>
          <w:tcPr>
            <w:tcW w:w="134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1.750%</w:t>
            </w:r>
          </w:p>
        </w:tc>
        <w:tc>
          <w:tcPr>
            <w:tcW w:w="168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0.750%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130"/>
        </w:trPr>
        <w:tc>
          <w:tcPr>
            <w:tcW w:w="600" w:type="dxa"/>
            <w:vAlign w:val="bottom"/>
            <w:tcBorders>
              <w:left w:val="single" w:sz="8" w:color="auto"/>
              <w:right w:val="single" w:sz="8" w:color="auto"/>
            </w:tcBorders>
            <w:vMerge w:val="continue"/>
          </w:tcPr>
          <w:p>
            <w:pPr>
              <w:spacing w:after="0"/>
              <w:rPr>
                <w:sz w:val="11"/>
                <w:szCs w:val="11"/>
                <w:color w:val="auto"/>
              </w:rPr>
            </w:pPr>
          </w:p>
        </w:tc>
        <w:tc>
          <w:tcPr>
            <w:tcW w:w="3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than 2.50 to 1.00</w:t>
            </w:r>
          </w:p>
        </w:tc>
        <w:tc>
          <w:tcPr>
            <w:tcW w:w="182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V</w:t>
            </w:r>
          </w:p>
        </w:tc>
        <w:tc>
          <w:tcPr>
            <w:tcW w:w="3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Greater than or equal to 2.50 to 1.00</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0.300%</w:t>
            </w:r>
          </w:p>
        </w:tc>
        <w:tc>
          <w:tcPr>
            <w:tcW w:w="13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2.000%</w:t>
            </w:r>
          </w:p>
        </w:tc>
        <w:tc>
          <w:tcPr>
            <w:tcW w:w="16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1.000%</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determining the Applicable Margin, the Applicable Commitment Fee Rate and the Applicable Letter of Credit Fee Rate:</w:t>
      </w:r>
    </w:p>
    <w:p>
      <w:pPr>
        <w:spacing w:after="0" w:line="225" w:lineRule="exact"/>
        <w:rPr>
          <w:sz w:val="20"/>
          <w:szCs w:val="20"/>
          <w:color w:val="auto"/>
        </w:rPr>
      </w:pPr>
    </w:p>
    <w:p>
      <w:pPr>
        <w:ind w:firstLine="656"/>
        <w:spacing w:after="0" w:line="282" w:lineRule="auto"/>
        <w:tabs>
          <w:tab w:leader="none" w:pos="122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Applicable Margin, the Applicable Commitment Fee Rate and the Applicable Letter of Credit Fee Rate, the rates in Level I shall apply and shall remain in effect until the end of the first fiscal quarter ending after the Closing Date.</w:t>
      </w:r>
    </w:p>
    <w:p>
      <w:pPr>
        <w:spacing w:after="0" w:line="162" w:lineRule="exact"/>
        <w:rPr>
          <w:sz w:val="20"/>
          <w:szCs w:val="20"/>
          <w:color w:val="auto"/>
        </w:rPr>
      </w:pPr>
    </w:p>
    <w:p>
      <w:pPr>
        <w:spacing w:after="0"/>
        <w:tabs>
          <w:tab w:leader="none" w:pos="5340" w:val="left"/>
        </w:tabs>
        <w:rPr>
          <w:sz w:val="20"/>
          <w:szCs w:val="20"/>
          <w:color w:val="auto"/>
        </w:rPr>
      </w:pPr>
      <w:r>
        <w:rPr>
          <w:rFonts w:ascii="Times New Roman" w:cs="Times New Roman" w:eastAsia="Times New Roman" w:hAnsi="Times New Roman"/>
          <w:sz w:val="18"/>
          <w:szCs w:val="18"/>
          <w:color w:val="auto"/>
        </w:rPr>
        <w:t>Schedule 1.1(A)</w:t>
      </w:r>
      <w:r>
        <w:rPr>
          <w:sz w:val="20"/>
          <w:szCs w:val="20"/>
          <w:color w:val="auto"/>
        </w:rPr>
        <w:tab/>
      </w:r>
      <w:r>
        <w:rPr>
          <w:rFonts w:ascii="Times New Roman" w:cs="Times New Roman" w:eastAsia="Times New Roman" w:hAnsi="Times New Roman"/>
          <w:sz w:val="18"/>
          <w:szCs w:val="18"/>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6" w:name="page207"/>
    <w:bookmarkEnd w:id="206"/>
    <w:p>
      <w:pPr>
        <w:jc w:val="both"/>
        <w:ind w:firstLine="656"/>
        <w:spacing w:after="0" w:line="255" w:lineRule="auto"/>
        <w:tabs>
          <w:tab w:leader="none" w:pos="124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the Applicable Commitment Fee Rate and the Applicable Letter of Credit Fee Rate shall be recomputed as of the end of each fiscal quarter ending after the Closing Date based on the Net Leverage Ratio as of such quarter end. Any increase or decrease in the Applicable Margin, the Applicable Commitment Fee Rate or the Applicable Letter of Credit Fee Rate computed as of a quarter end shall be effective on the date on which the Compliance Certificate evidencing such computation is due to be delivered under Section 8.3.3 [Certificate of Borrowers]. If a Compliance Certificate is not delivered when due in accordance with such Section 8.3.3, then the rates in Level V shall apply as of the first Business Day after the date on which such Compliance Certificate was required to have been delivered and shall remain in effect until the date on which such Compliance Certificate is delivered.</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restatement of or other adjustment to the financial statements of the Borrowers or for any other reason, the Borrowers or the Lenders determine that (i) the Net Leverage Ratio as calculated by the Borrowers as of any applicable date was inaccurate and (ii) a proper calculation of the Net Leverage Ratio would have resulted in higher pricing for such period, the Borrowers shall immediately and retroactively be obligated to pay to the Administrative Agent for the account of the applicable Lenders, promptly on demand by the Administrative Agent (or, after the occurrence of an actual or deemed entry of an order for relief with respect to the Borrowers under the Bankruptcy Code of the United States, automatically and without further action by the Administrative Agent, any Lender or the Issuing Lender), an amount equal to the excess of the amount of interest and fees that should have been paid for such period over the amount of interest and fees actually paid for such period. This paragraph shall not limit the rights of the Administrative Agent, any Lender or the Issuing Lender, as the case may be, under Section 2.9 [Letter of Credit Subfacility] or Section 4.3 [Interest After Default] or Section 9 [Default]. The Borrowers’ obligations under this paragraph shall survive the termination of the Commitments and the repayment of all other Obligations hereunder.</w:t>
      </w:r>
    </w:p>
    <w:p>
      <w:pPr>
        <w:spacing w:after="0" w:line="194" w:lineRule="exact"/>
        <w:rPr>
          <w:sz w:val="20"/>
          <w:szCs w:val="20"/>
          <w:color w:val="auto"/>
        </w:rPr>
      </w:pPr>
    </w:p>
    <w:p>
      <w:pPr>
        <w:spacing w:after="0"/>
        <w:tabs>
          <w:tab w:leader="none" w:pos="5340" w:val="left"/>
        </w:tabs>
        <w:rPr>
          <w:sz w:val="20"/>
          <w:szCs w:val="20"/>
          <w:color w:val="auto"/>
        </w:rPr>
      </w:pPr>
      <w:r>
        <w:rPr>
          <w:rFonts w:ascii="Times New Roman" w:cs="Times New Roman" w:eastAsia="Times New Roman" w:hAnsi="Times New Roman"/>
          <w:sz w:val="18"/>
          <w:szCs w:val="18"/>
          <w:color w:val="auto"/>
        </w:rPr>
        <w:t>Schedule 1.1(A)</w:t>
      </w:r>
      <w:r>
        <w:rPr>
          <w:sz w:val="20"/>
          <w:szCs w:val="20"/>
          <w:color w:val="auto"/>
        </w:rPr>
        <w:tab/>
      </w:r>
      <w:r>
        <w:rPr>
          <w:rFonts w:ascii="Times New Roman" w:cs="Times New Roman" w:eastAsia="Times New Roman" w:hAnsi="Times New Roman"/>
          <w:sz w:val="18"/>
          <w:szCs w:val="18"/>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1.1(B)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COMMITMENTS OF LENDERS AND ADDRESSES FOR NOTICES</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1 of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1 - Commitments of Lenders and Addresses for Notices to Lenders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6860" w:type="dxa"/>
            <w:vAlign w:val="bottom"/>
            <w:tcBorders>
              <w:top w:val="single" w:sz="8" w:color="auto"/>
              <w:left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5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tcBorders>
              <w:left w:val="single" w:sz="8" w:color="auto"/>
              <w:right w:val="single" w:sz="8" w:color="auto"/>
            </w:tcBorders>
            <w:vMerge w:val="restart"/>
          </w:tcPr>
          <w:p>
            <w:pPr>
              <w:ind w:left="324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66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Commitment for</w:t>
            </w:r>
          </w:p>
        </w:tc>
        <w:tc>
          <w:tcPr>
            <w:tcW w:w="158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Ratable Share</w:t>
            </w:r>
          </w:p>
        </w:tc>
        <w:tc>
          <w:tcPr>
            <w:tcW w:w="0" w:type="dxa"/>
            <w:vAlign w:val="bottom"/>
          </w:tcPr>
          <w:p>
            <w:pPr>
              <w:spacing w:after="0"/>
              <w:rPr>
                <w:sz w:val="1"/>
                <w:szCs w:val="1"/>
                <w:color w:val="auto"/>
              </w:rPr>
            </w:pPr>
          </w:p>
        </w:tc>
      </w:tr>
      <w:tr>
        <w:trPr>
          <w:trHeight w:val="130"/>
        </w:trPr>
        <w:tc>
          <w:tcPr>
            <w:tcW w:w="6860" w:type="dxa"/>
            <w:vAlign w:val="bottom"/>
            <w:tcBorders>
              <w:left w:val="single" w:sz="8" w:color="auto"/>
              <w:right w:val="single" w:sz="8" w:color="auto"/>
            </w:tcBorders>
            <w:vMerge w:val="continue"/>
          </w:tcPr>
          <w:p>
            <w:pPr>
              <w:spacing w:after="0"/>
              <w:rPr>
                <w:sz w:val="11"/>
                <w:szCs w:val="11"/>
                <w:color w:val="auto"/>
              </w:rPr>
            </w:pPr>
          </w:p>
        </w:tc>
        <w:tc>
          <w:tcPr>
            <w:tcW w:w="1660" w:type="dxa"/>
            <w:vAlign w:val="bottom"/>
            <w:tcBorders>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Revolving Credit</w:t>
            </w:r>
          </w:p>
        </w:tc>
        <w:tc>
          <w:tcPr>
            <w:tcW w:w="1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686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686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60" w:type="dxa"/>
            <w:vAlign w:val="bottom"/>
            <w:tcBorders>
              <w:left w:val="single" w:sz="8" w:color="auto"/>
              <w:right w:val="single" w:sz="8" w:color="auto"/>
            </w:tcBorders>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Name: PNC Bank, National Association</w:t>
            </w:r>
          </w:p>
        </w:tc>
        <w:tc>
          <w:tcPr>
            <w:tcW w:w="1660" w:type="dxa"/>
            <w:vAlign w:val="bottom"/>
            <w:tcBorders>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Borders>
              <w:left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Address: 411 E. Wisconsin Avenue</w:t>
            </w:r>
          </w:p>
        </w:tc>
        <w:tc>
          <w:tcPr>
            <w:tcW w:w="166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left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Milwaukee, WI 53202</w:t>
            </w:r>
          </w:p>
        </w:tc>
        <w:tc>
          <w:tcPr>
            <w:tcW w:w="1660" w:type="dxa"/>
            <w:vAlign w:val="bottom"/>
            <w:tcBorders>
              <w:right w:val="single" w:sz="8" w:color="auto"/>
            </w:tcBorders>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$ 33,333,333.33</w:t>
            </w:r>
          </w:p>
        </w:tc>
        <w:tc>
          <w:tcPr>
            <w:tcW w:w="158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66.666666667%</w:t>
            </w:r>
          </w:p>
        </w:tc>
        <w:tc>
          <w:tcPr>
            <w:tcW w:w="0" w:type="dxa"/>
            <w:vAlign w:val="bottom"/>
          </w:tcPr>
          <w:p>
            <w:pPr>
              <w:spacing w:after="0"/>
              <w:rPr>
                <w:sz w:val="1"/>
                <w:szCs w:val="1"/>
                <w:color w:val="auto"/>
              </w:rPr>
            </w:pPr>
          </w:p>
        </w:tc>
      </w:tr>
      <w:tr>
        <w:trPr>
          <w:trHeight w:val="126"/>
        </w:trPr>
        <w:tc>
          <w:tcPr>
            <w:tcW w:w="6860" w:type="dxa"/>
            <w:vAlign w:val="bottom"/>
            <w:tcBorders>
              <w:left w:val="single" w:sz="8" w:color="auto"/>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Attention: Joseph Vehec</w:t>
            </w:r>
          </w:p>
        </w:tc>
        <w:tc>
          <w:tcPr>
            <w:tcW w:w="1660" w:type="dxa"/>
            <w:vAlign w:val="bottom"/>
            <w:tcBorders>
              <w:right w:val="single" w:sz="8" w:color="auto"/>
            </w:tcBorders>
            <w:vMerge w:val="continue"/>
            <w:shd w:val="clear" w:color="auto" w:fill="CCEEFF"/>
          </w:tcPr>
          <w:p>
            <w:pPr>
              <w:spacing w:after="0"/>
              <w:rPr>
                <w:sz w:val="10"/>
                <w:szCs w:val="10"/>
                <w:color w:val="auto"/>
              </w:rPr>
            </w:pPr>
          </w:p>
        </w:tc>
        <w:tc>
          <w:tcPr>
            <w:tcW w:w="158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86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1660" w:type="dxa"/>
            <w:vAlign w:val="bottom"/>
            <w:tcBorders>
              <w:right w:val="single" w:sz="8" w:color="auto"/>
            </w:tcBorders>
            <w:shd w:val="clear" w:color="auto" w:fill="CCEEFF"/>
          </w:tcPr>
          <w:p>
            <w:pPr>
              <w:spacing w:after="0"/>
              <w:rPr>
                <w:sz w:val="7"/>
                <w:szCs w:val="7"/>
                <w:color w:val="auto"/>
              </w:rPr>
            </w:pPr>
          </w:p>
        </w:tc>
        <w:tc>
          <w:tcPr>
            <w:tcW w:w="158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60" w:type="dxa"/>
            <w:vAlign w:val="bottom"/>
            <w:tcBorders>
              <w:left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Telephone: (414) 270-5691</w:t>
            </w:r>
          </w:p>
        </w:tc>
        <w:tc>
          <w:tcPr>
            <w:tcW w:w="166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Borders>
              <w:left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Telecopy:  (414) 226- 2353</w:t>
            </w:r>
          </w:p>
        </w:tc>
        <w:tc>
          <w:tcPr>
            <w:tcW w:w="1660" w:type="dxa"/>
            <w:vAlign w:val="bottom"/>
            <w:tcBorders>
              <w:right w:val="single" w:sz="8" w:color="auto"/>
            </w:tcBorders>
            <w:shd w:val="clear" w:color="auto" w:fill="CCEEFF"/>
          </w:tcPr>
          <w:p>
            <w:pPr>
              <w:spacing w:after="0"/>
              <w:rPr>
                <w:sz w:val="20"/>
                <w:szCs w:val="20"/>
                <w:color w:val="auto"/>
              </w:rPr>
            </w:pPr>
          </w:p>
        </w:tc>
        <w:tc>
          <w:tcPr>
            <w:tcW w:w="15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tcBorders>
              <w:left w:val="single" w:sz="8" w:color="auto"/>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860" w:type="dxa"/>
            <w:vAlign w:val="bottom"/>
            <w:tcBorders>
              <w:left w:val="single" w:sz="8" w:color="auto"/>
              <w:right w:val="single" w:sz="8" w:color="auto"/>
            </w:tcBorders>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Name: Associated Bank, N.A.</w:t>
            </w:r>
          </w:p>
        </w:tc>
        <w:tc>
          <w:tcPr>
            <w:tcW w:w="1660" w:type="dxa"/>
            <w:vAlign w:val="bottom"/>
            <w:tcBorders>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Borders>
              <w:left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Address: 330 East Kilbourn Avenue Milwaukee, WI 53202</w:t>
            </w:r>
          </w:p>
        </w:tc>
        <w:tc>
          <w:tcPr>
            <w:tcW w:w="166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left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Attention: Daniel Holzhauer</w:t>
            </w:r>
          </w:p>
        </w:tc>
        <w:tc>
          <w:tcPr>
            <w:tcW w:w="166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left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Telephone: (414) 283-2361</w:t>
            </w:r>
          </w:p>
        </w:tc>
        <w:tc>
          <w:tcPr>
            <w:tcW w:w="166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Borders>
              <w:left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Telecopy: (414) 283-2300</w:t>
            </w:r>
          </w:p>
        </w:tc>
        <w:tc>
          <w:tcPr>
            <w:tcW w:w="1660" w:type="dxa"/>
            <w:vAlign w:val="bottom"/>
            <w:tcBorders>
              <w:right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$ 16,666,666.67</w:t>
            </w:r>
          </w:p>
        </w:tc>
        <w:tc>
          <w:tcPr>
            <w:tcW w:w="15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33.333333333%</w:t>
            </w:r>
          </w:p>
        </w:tc>
        <w:tc>
          <w:tcPr>
            <w:tcW w:w="0" w:type="dxa"/>
            <w:vAlign w:val="bottom"/>
          </w:tcPr>
          <w:p>
            <w:pPr>
              <w:spacing w:after="0"/>
              <w:rPr>
                <w:sz w:val="1"/>
                <w:szCs w:val="1"/>
                <w:color w:val="auto"/>
              </w:rPr>
            </w:pPr>
          </w:p>
        </w:tc>
      </w:tr>
      <w:tr>
        <w:trPr>
          <w:trHeight w:val="223"/>
        </w:trPr>
        <w:tc>
          <w:tcPr>
            <w:tcW w:w="6860" w:type="dxa"/>
            <w:vAlign w:val="bottom"/>
            <w:tcBorders>
              <w:left w:val="single" w:sz="8" w:color="auto"/>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left w:val="single" w:sz="8" w:color="auto"/>
              <w:bottom w:val="single" w:sz="8" w:color="auto"/>
              <w:right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tcBorders>
              <w:bottom w:val="single" w:sz="8" w:color="auto"/>
              <w:right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$ 50,000,000.00</w:t>
            </w:r>
          </w:p>
        </w:tc>
        <w:tc>
          <w:tcPr>
            <w:tcW w:w="158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100.000000000%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08" w:name="page209"/>
    <w:bookmarkEnd w:id="208"/>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1.1(B)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COMMITMENTS OF LENDERS AND ADDRESSES FOR NOTICES</w:t>
      </w: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2 of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2 - Addresses for Notices to Borrowers and Guarantors: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PNC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411 E. Wisconsin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Joseph Vehec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(414) 270-5691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Telecopy:  (414) 226-2353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With a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Services, PNC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Stop: P7-PFSC-04-I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500 First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15219</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Agency Services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(440) 546-6635</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Telecopy:</w:t>
      </w:r>
      <w:r>
        <w:rPr>
          <w:sz w:val="20"/>
          <w:szCs w:val="20"/>
          <w:color w:val="auto"/>
        </w:rPr>
        <w:tab/>
      </w:r>
      <w:r>
        <w:rPr>
          <w:rFonts w:ascii="Times New Roman" w:cs="Times New Roman" w:eastAsia="Times New Roman" w:hAnsi="Times New Roman"/>
          <w:sz w:val="18"/>
          <w:szCs w:val="18"/>
          <w:color w:val="auto"/>
        </w:rPr>
        <w:t>(412) 762-8672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PARTIES OR BORROWER AGENT:</w:t>
      </w:r>
    </w:p>
    <w:p>
      <w:pPr>
        <w:sectPr>
          <w:pgSz w:w="11900" w:h="16838" w:orient="portrait"/>
          <w:cols w:equalWidth="0" w:num="1">
            <w:col w:w="10139"/>
          </w:cols>
          <w:pgMar w:left="320" w:top="117"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Johnson Outdoors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Racine, Wisconsin 53403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Khalaf Khalaf, Esquire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 631-6646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 631-6610</w:t>
      </w:r>
    </w:p>
    <w:p>
      <w:pPr>
        <w:spacing w:after="0" w:line="200" w:lineRule="exact"/>
        <w:rPr>
          <w:sz w:val="20"/>
          <w:szCs w:val="20"/>
          <w:color w:val="auto"/>
        </w:rPr>
      </w:pPr>
    </w:p>
    <w:p>
      <w:pPr>
        <w:sectPr>
          <w:pgSz w:w="11900" w:h="16838" w:orient="portrait"/>
          <w:cols w:equalWidth="0" w:num="2">
            <w:col w:w="800" w:space="340"/>
            <w:col w:w="8999"/>
          </w:cols>
          <w:pgMar w:left="320" w:top="1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SCHEDULE 1.1(P)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Permitted Liens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Omitted]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Schedule 1.1(P)</w:t>
            </w:r>
          </w:p>
        </w:tc>
        <w:tc>
          <w:tcPr>
            <w:tcW w:w="786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SCHEDULE 1.1(Q)(1)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QUALIFIED ACCOUNTS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be considered a Qualified Account, an Account must meet the following minimum requirements:</w:t>
      </w:r>
    </w:p>
    <w:p>
      <w:pPr>
        <w:spacing w:after="0" w:line="225" w:lineRule="exact"/>
        <w:rPr>
          <w:sz w:val="20"/>
          <w:szCs w:val="20"/>
          <w:color w:val="auto"/>
        </w:rPr>
      </w:pPr>
    </w:p>
    <w:p>
      <w:pPr>
        <w:jc w:val="both"/>
        <w:ind w:firstLine="1304"/>
        <w:spacing w:after="0" w:line="256" w:lineRule="auto"/>
        <w:tabs>
          <w:tab w:leader="none" w:pos="200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represents a complete bona fide transaction for goods sold and delivered or services rendered (but excluding any amounts in the nature of a service charge added to the amount due on an invoice because the invoice has not been paid when due) which requires no further act under any circumstances on the part of such Loan Party to make such Account payable by the Account Debtor; the Account arises from an arm’s-length transaction in the ordinary course of such Loan Party’s business between such Loan Party and an Account Debtor which is not an Affiliate of any Loan Party or an officer, stockholder or employee of the Borrower or any Affiliate of any Loan Party, or a member of the family of an officer, stockholder or employee of any Loan Party or any Affiliate of any Loan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shall not (i) be or have been unpaid more than ninety (90) days from the invoice date, (ii) be delinquent more than sixty (60) days, or (iii) be payable by an Account Debtor (1) more than 50% of whose Accounts have remained unpaid for more than ninety (90) days from the invoice date or are delinquent more than sixty (60) days, or (2) whose Accounts constitute, in the Administrative Agent’s determination, more than 20% of the aggregate amount of all outstanding Accounts;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the sale of which gave rise to the Account were shipped or delivered or provided to the Account Debtor on an absolute sale basis and not on a bill and hold sale basis, a consignment sale basis, a guaranteed sale basis, a sale or return basis, or on the basis of any other similar understanding, and no part of such goods has been returned or rejected;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not evidenced by chattel paper or an instrument of any kind; the Account Debtor with respect to the Account (i) is Solvent, and (ii) is not the subject of any bankruptcy or insolvency proceedings of any kind or of any other proceeding or action, threatened or pending, which might have a materially adverse effect on its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Debtor is not located outside Canada or the continental United States of America or if the Account Debtor is located outside the continental United States, the Account is supported by a letter of credit or FICA insurance deemed adequate and acceptable by the Administrative Agent;</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09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Account Debtor is not the government of the United States of America, or any department, agency or instrumentality thereof, or (ii) if the Account Debtor is an entity mentioned in clause (f)(i), the Federal Assignment of Claims Act (or applicable similar legislation) has been fully complied with so as to validly perfect the Lenders’ prior security interest to the Administrative Agent’s satisfaction;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a valid, binding and legally enforceable obligation of the Account Debtor with respect thereto and is not subject to any dispute, condition, contingency, offset, recoupment, reduction, claim for credit, allowance, adjustment, counterclaim or defense on the part of such Account Debtor, and no facts exist which may provide a basis for any of the foregoing in the present or future;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Schedule 1.1(Q)(1)</w:t>
            </w:r>
          </w:p>
        </w:tc>
        <w:tc>
          <w:tcPr>
            <w:tcW w:w="774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11" w:name="page212"/>
    <w:bookmarkEnd w:id="211"/>
    <w:p>
      <w:pPr>
        <w:ind w:firstLine="1304"/>
        <w:spacing w:after="0" w:line="282" w:lineRule="auto"/>
        <w:tabs>
          <w:tab w:leader="none" w:pos="196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subject to the Administrative Agent’s and the Lenders’ prior security interest and is not subject to any other Lien, claim, encumbrance or security interest whatsoever, other than Permitted Liens;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14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evidenced by an invoice or other documentation and arises from a contract which is in form and substance satisfactory to the Administrative Agent;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have observed and complied with all Laws of the state in which the Account Debtor or the Account is located which, if not observed and complied with, would deny to the Loan Parties access to the courts of such state;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not subject to any provision prohibiting its assignment or requiring notice of or consent to such assignment;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6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giving rise to the Account were not, at the time of sale thereof, subject to any Lien or encumbrance except the Administrative Agent and the Lenders’ prior security interest and Permitted Liens;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payable in freely transferable U.S. Dollars;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not, or should not be, disqualified for any other reason generally accepted in the commercial finance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requirements, Accounts of any Account Debtor which are otherwise Qualified Accounts shall be reduced to the extent of any accounts payable (including the Administrative Agent’s estimate of any contingent liabilities) by any of the Loan Parties to such Account Debtor (“</w:t>
      </w:r>
      <w:r>
        <w:rPr>
          <w:rFonts w:ascii="Times New Roman" w:cs="Times New Roman" w:eastAsia="Times New Roman" w:hAnsi="Times New Roman"/>
          <w:sz w:val="18"/>
          <w:szCs w:val="18"/>
          <w:u w:val="single" w:color="auto"/>
          <w:color w:val="auto"/>
        </w:rPr>
        <w:t>Contras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in its sole discretion, may determine that none of the Accounts in respect to such Account Debtor shall be Qualified Accounts in the event that there exists an unreasonably large amount of payables owing to such Account Debtor.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qualification standards specified above, upon ten (10) Business Days’ prior notice to the Borrowers, the Administrative Agent may at any time or from time to time revise such qualification standards or, in its Permitted Discretion, determine that one or more Accounts are not eligible to be Qualified Accounts.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Schedule 1.1(Q)(1)</w:t>
            </w:r>
          </w:p>
        </w:tc>
        <w:tc>
          <w:tcPr>
            <w:tcW w:w="774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2</w:t>
            </w:r>
          </w:p>
        </w:tc>
      </w:tr>
      <w:tr>
        <w:trPr>
          <w:trHeight w:val="398"/>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SCHEDULE 1.1(Q)(2)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QUALIFIED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be considered Qualified Inventory, such Inventory must meet the following minimum requirements:</w:t>
      </w:r>
    </w:p>
    <w:p>
      <w:pPr>
        <w:spacing w:after="0" w:line="225" w:lineRule="exact"/>
        <w:rPr>
          <w:sz w:val="20"/>
          <w:szCs w:val="20"/>
          <w:color w:val="auto"/>
        </w:rPr>
      </w:pPr>
    </w:p>
    <w:p>
      <w:pPr>
        <w:jc w:val="both"/>
        <w:ind w:firstLine="1304"/>
        <w:spacing w:after="0" w:line="266" w:lineRule="auto"/>
        <w:tabs>
          <w:tab w:leader="none" w:pos="195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is either (i) finished goods; or (ii) raw materials other than supplies; but excluding in all cases work-in-process and any goods which have been shipped, delivered, sold by, purchased by or provided to such Loan Party on a bill and hold, consignment sale, guaranteed sale, or sale or return basis, or any other similar basis or understanding other than an absolute sale;</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is new, of good and merchantable quality;</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9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is located on premises listed on Schedule A to the Security Agreement and, with respect to inventory locations at facilities leased to any of the Loan Parties, the Administrative Agent has received a landlord’s waiver or other lien waiver agreement in favor of and on terms satisfactory to the Administrative Agent, or is Inventory which is in transit and is so identified on the relevant Schedule of Inventory;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is not stored with a bailee, warehouseman, consignee or similar party unless the Administrative Agent has given its prior written consent and such Loan Party has caused such bailee, warehouseman, consignee or similar party to issue and deliver to the Administrative Agent, in form and substance acceptable to the Administrative Agent, warehouse receipts or similar type documentation therefor in the Administrative Agent’s name;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is subject to the Administrative Agent’s and the Lenders’ prior security interest and is not subject to any other Lien other than Permitted Liens;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16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has not been manufactured in violation of any federal minimum wage or overtime Laws, including, without limitation, the Fair Labor Standards Act, 29 U.S.C. § 215(a)(1).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qualification standards specified above, upon ten (10) Business Days’ prior notice to the Borrower, the Administrative Agent may at any time or from time to time revise such qualification standards or, in its Permitted Discretion, determine that certain Inventory is not eligible to be Qualified Inventory.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Schedule 1.1(Q)(2)</w:t>
            </w:r>
          </w:p>
        </w:tc>
        <w:tc>
          <w:tcPr>
            <w:tcW w:w="774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SECTION 2.9.1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Existing Letters of Credit</w:t>
      </w:r>
    </w:p>
    <w:p>
      <w:pPr>
        <w:spacing w:after="0" w:line="229" w:lineRule="exact"/>
        <w:rPr>
          <w:sz w:val="20"/>
          <w:szCs w:val="20"/>
          <w:color w:val="auto"/>
        </w:rPr>
      </w:pPr>
    </w:p>
    <w:p>
      <w:pPr>
        <w:ind w:firstLine="8"/>
        <w:spacing w:after="0" w:line="282" w:lineRule="auto"/>
        <w:tabs>
          <w:tab w:leader="none" w:pos="18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Number 18112882-00-000 issued by PNC Bank, National Association in the amount of $50,711.00 for the account of Johnson Outdoors Inc. in favor of beneficiary The Travelers Indemnity Company.</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Number 18124200-00-000 issued by PNC Bank, National Association in the amount of $16,619.50 for the account of Johnson Outdoors Inc. in favor of beneficiary Lumbermens Mutual Casualty Company, In Liquidation.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Schedule 2.9.1</w:t>
            </w:r>
          </w:p>
        </w:tc>
        <w:tc>
          <w:tcPr>
            <w:tcW w:w="790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33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SCHEDULE 6.1.1(A)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Qualifications to do Business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Schedule 6.1.1(A)</w:t>
            </w:r>
          </w:p>
        </w:tc>
        <w:tc>
          <w:tcPr>
            <w:tcW w:w="776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34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color w:val="auto"/>
        </w:rPr>
        <w:t>EXHIBIT 5.9.7(A)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the Second Amended and Restated Credit Agreement dated as of December 9,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Johnson Outdoors Inc., Johnson Outdoors Watercraft Inc., Johnson Outdoors Marine Electronics, Inc., Johnson Outdoors Diving LLC, Under Sea Industries, Inc., Johnson Outdoors Gear, Inc., PNC Bank, National Association, as Administrative Agent, and each lender from time to time party thereto.</w:t>
      </w:r>
    </w:p>
    <w:p>
      <w:pPr>
        <w:spacing w:after="0" w:line="17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5.9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 (B) of the Code and (iv) it is not a controlled foreign corporation related to any Borrower as described in Section 881(c)(3)(C) of the Code.</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Borrowers with a certificate of its non-U.S. Person status on IRS Form W-8BEN-E (or W-8BEN if applicable).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9480" w:type="dxa"/>
            <w:vAlign w:val="bottom"/>
          </w:tcPr>
          <w:p>
            <w:pPr>
              <w:spacing w:after="0"/>
              <w:rPr>
                <w:sz w:val="20"/>
                <w:szCs w:val="20"/>
                <w:color w:val="auto"/>
              </w:rPr>
            </w:pPr>
          </w:p>
        </w:tc>
      </w:tr>
      <w:tr>
        <w:trPr>
          <w:trHeight w:val="432"/>
        </w:trPr>
        <w:tc>
          <w:tcPr>
            <w:tcW w:w="1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9480" w:type="dxa"/>
            <w:vAlign w:val="bottom"/>
          </w:tcPr>
          <w:p>
            <w:pPr>
              <w:spacing w:after="0"/>
              <w:rPr>
                <w:sz w:val="24"/>
                <w:szCs w:val="24"/>
                <w:color w:val="auto"/>
              </w:rPr>
            </w:pP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 __, 20[</w:t>
            </w:r>
          </w:p>
        </w:tc>
        <w:tc>
          <w:tcPr>
            <w:tcW w:w="948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Exhibit 5.9.7(A)</w:t>
            </w:r>
          </w:p>
        </w:tc>
        <w:tc>
          <w:tcPr>
            <w:tcW w:w="948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176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color w:val="auto"/>
        </w:rPr>
        <w:t>EXHIBIT 5.9.7(B)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the Second Amended and Restated Credit Agreement dated as of December 9,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Johnson Outdoors Inc., Johnson Outdoors Watercraft Inc., Johnson Outdoors Marine Electronics, Inc., Johnson Outdoors Diving LLC, Under Sea Industries, Inc., Johnson Outdoors Gear, Inc., PNC Bank, National Association, as Administrative Agent, and each lender from time to time party thereto.</w:t>
      </w:r>
    </w:p>
    <w:p>
      <w:pPr>
        <w:spacing w:after="0" w:line="17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5.9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W-8BEN-E (or W-8BEN if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9480" w:type="dxa"/>
            <w:vAlign w:val="bottom"/>
          </w:tcPr>
          <w:p>
            <w:pPr>
              <w:spacing w:after="0"/>
              <w:rPr>
                <w:sz w:val="20"/>
                <w:szCs w:val="20"/>
                <w:color w:val="auto"/>
              </w:rPr>
            </w:pPr>
          </w:p>
        </w:tc>
      </w:tr>
      <w:tr>
        <w:trPr>
          <w:trHeight w:val="432"/>
        </w:trPr>
        <w:tc>
          <w:tcPr>
            <w:tcW w:w="1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9480" w:type="dxa"/>
            <w:vAlign w:val="bottom"/>
          </w:tcPr>
          <w:p>
            <w:pPr>
              <w:spacing w:after="0"/>
              <w:rPr>
                <w:sz w:val="24"/>
                <w:szCs w:val="24"/>
                <w:color w:val="auto"/>
              </w:rPr>
            </w:pP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 __, 20[</w:t>
            </w:r>
          </w:p>
        </w:tc>
        <w:tc>
          <w:tcPr>
            <w:tcW w:w="948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Exhibit 5.9.7(B)</w:t>
            </w:r>
          </w:p>
        </w:tc>
        <w:tc>
          <w:tcPr>
            <w:tcW w:w="948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176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color w:val="auto"/>
        </w:rPr>
        <w:t>EXHIBIT 5.9.7(C)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the Second Amended and Restated Credit Agreement dated as of December 9,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Johnson Outdoors Inc., Johnson Outdoors Watercraft Inc., Johnson Outdoors Marine Electronics, Inc., Johnson Outdoors Diving LLC, Under Sea Industries, Inc., Johnson Outdoors Gear, Inc., PNC Bank, National Association, as Administrative Agent, and each lender from time to time party thereto.</w:t>
      </w:r>
    </w:p>
    <w:p>
      <w:pPr>
        <w:spacing w:after="0" w:line="17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Pursuant to the provisions of Section 5.9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W-8BEN-E (or W-8BEN if applicable) or (ii) an IRS Form W-8IMY accompanied by an IRS Form W-8BEN-E (or W-8BEN if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-127635</wp:posOffset>
            </wp:positionV>
            <wp:extent cx="299148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3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________ __, 20[</w:t>
            </w:r>
          </w:p>
        </w:tc>
        <w:tc>
          <w:tcPr>
            <w:tcW w:w="3860" w:type="dxa"/>
            <w:vAlign w:val="bottom"/>
          </w:tcPr>
          <w:p>
            <w:pPr>
              <w:jc w:val="right"/>
              <w:ind w:right="367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p>
        </w:tc>
      </w:tr>
      <w:tr>
        <w:trPr>
          <w:trHeight w:val="41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5.9.7(C)</w:t>
            </w:r>
          </w:p>
        </w:tc>
        <w:tc>
          <w:tcPr>
            <w:tcW w:w="9480" w:type="dxa"/>
            <w:vAlign w:val="bottom"/>
            <w:gridSpan w:val="2"/>
          </w:tcPr>
          <w:p>
            <w:pPr>
              <w:jc w:val="right"/>
              <w:ind w:right="5540"/>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color w:val="auto"/>
        </w:rPr>
        <w:t>EXHIBIT 5.9.7(D)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the Second Amended and Restated Credit Agreement dated as of December 9,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Johnson Outdoors Inc., Johnson Outdoors Watercraft Inc., Johnson Outdoors Marine Electronics, Inc., Johnson Outdoors Diving LLC, Under Sea Industries, Inc., Johnson Outdoors Gear, Inc., PNC Bank, National Association, as Administrative Agent, and each lender from time to time party thereto.</w:t>
      </w:r>
    </w:p>
    <w:p>
      <w:pPr>
        <w:spacing w:after="0" w:line="17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5.9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 (C) of the Code.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Borrowers with IRS Form W-8IMY accompanied by one of the following forms from each of its partners/members that is claiming the portfolio interest exemption: (i) an IRS Form W-8BEN-E (or W8-BEN if applicable) or (ii) an IRS Form W-8IMY accompanied by an IRS Form W-8BEN-E (or W-8BEN if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spacing w:after="0"/>
              <w:rPr>
                <w:sz w:val="18"/>
                <w:szCs w:val="18"/>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Borders>
              <w:top w:val="single" w:sz="8" w:color="auto"/>
            </w:tcBorders>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________ __, 20[</w:t>
            </w:r>
          </w:p>
        </w:tc>
        <w:tc>
          <w:tcPr>
            <w:tcW w:w="3860" w:type="dxa"/>
            <w:vAlign w:val="bottom"/>
          </w:tcPr>
          <w:p>
            <w:pPr>
              <w:jc w:val="right"/>
              <w:ind w:right="367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p>
        </w:tc>
      </w:tr>
      <w:tr>
        <w:trPr>
          <w:trHeight w:val="43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5.9.7(D)</w:t>
            </w:r>
          </w:p>
        </w:tc>
        <w:tc>
          <w:tcPr>
            <w:tcW w:w="9480" w:type="dxa"/>
            <w:vAlign w:val="bottom"/>
            <w:gridSpan w:val="2"/>
          </w:tcPr>
          <w:p>
            <w:pPr>
              <w:jc w:val="right"/>
              <w:ind w:right="5540"/>
              <w:spacing w:after="0"/>
              <w:rPr>
                <w:sz w:val="20"/>
                <w:szCs w:val="20"/>
                <w:color w:val="auto"/>
              </w:rPr>
            </w:pPr>
            <w:r>
              <w:rPr>
                <w:rFonts w:ascii="Times New Roman" w:cs="Times New Roman" w:eastAsia="Times New Roman" w:hAnsi="Times New Roman"/>
                <w:sz w:val="18"/>
                <w:szCs w:val="18"/>
                <w:color w:val="auto"/>
              </w:rPr>
              <w:t>1</w:t>
            </w:r>
          </w:p>
        </w:tc>
      </w:tr>
      <w:tr>
        <w:trPr>
          <w:trHeight w:val="533"/>
        </w:trPr>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19</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JOHNSON OUTDOORS INC.</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POLICY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of Johnson Outdoors Inc. (the "Company") has adopted this Insider Trading Policy applicable to all of the Company's and its designated subsidiaries' employees, officers, directors and consultants with respect to transactions in the Company's securities, as well as the securities of publicly traded companies with whom the Company has a business relationship, including customers and suppliers.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is designed to prevent insider trading or allegations of insider trading, and to protect the Company's reputation for integrity and ethical conduct. It is your obligation to understand and comply with this Policy. Should you have any questions about this Policy, please contact the Company's General Counsel.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Applicability of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options for common stock and any other securities the Company may issue from time to time, such as preferred stock, warrants and convertible debentures, as well as to derivative securities relating to the Company's securities, whether or not issued by the Company, such as exchange-traded options. This policy applies to all officers, directors, employees and consultants of the Company and its subsidiaries, who receive or have access to Material Nonpublic Information (as defined below) regarding the Company. This group of people, members of their immediate families, and members of their households are sometimes referred to in this policy as "Insiders." This policy also applies to any person who receives Material Nonpublic Information from any Insider.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person who possesses Material Nonpublic Information regarding the Company is an Insider for so long as the information is not publicly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of the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Financial Officer and General Counsel shall serve as the Compliance Officers for the purposes of this Policy, and in their absence, another employee designated by the Board of Directors shall be responsible for the administration of this Policy. All determinations and interpretations relating to this Policy by the Compliance Officer shall be final and not subject to further review.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29" w:lineRule="exact"/>
        <w:rPr>
          <w:sz w:val="20"/>
          <w:szCs w:val="20"/>
          <w:color w:val="auto"/>
        </w:rPr>
      </w:pPr>
    </w:p>
    <w:p>
      <w:pPr>
        <w:jc w:val="both"/>
        <w:ind w:firstLine="656"/>
        <w:spacing w:after="0" w:line="261" w:lineRule="auto"/>
        <w:tabs>
          <w:tab w:leader="none" w:pos="132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on Material Nonpublic Information</w:t>
      </w:r>
      <w:r>
        <w:rPr>
          <w:rFonts w:ascii="Times New Roman" w:cs="Times New Roman" w:eastAsia="Times New Roman" w:hAnsi="Times New Roman"/>
          <w:sz w:val="18"/>
          <w:szCs w:val="18"/>
          <w:color w:val="auto"/>
        </w:rPr>
        <w:t>. No Insider shall engage in any transaction involving a purchase or sale of the Company's securities, including any offer to purchase or offer to sell, during any period in which he or she possesses Material Nonpublic Information concerning the Company. Moreover, no Insider may purchase or sell any security of any other company, whether or not issued by the Company, while in possession of Material Nonpublic Information about that company that was obtained in the course of his or her involvement with the Company or its subsidiaries.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20" w:name="page221"/>
    <w:bookmarkEnd w:id="220"/>
    <w:p>
      <w:pPr>
        <w:jc w:val="both"/>
        <w:ind w:firstLine="656"/>
        <w:spacing w:after="0" w:line="266"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No Insider shall engage in a short sale of the Company's securities. A "Short Sale" is a sale of securities not owned by the seller or, if owned, not delivered against such sale within 20 days thereafter (a "Short Against the Box"). Transactions in certain put and call options for the Company's securities may in some instances constitute a short sale.</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Tipping</w:t>
      </w:r>
      <w:r>
        <w:rPr>
          <w:rFonts w:ascii="Times New Roman" w:cs="Times New Roman" w:eastAsia="Times New Roman" w:hAnsi="Times New Roman"/>
          <w:sz w:val="18"/>
          <w:szCs w:val="18"/>
          <w:color w:val="auto"/>
        </w:rPr>
        <w:t>. No Insider who knows of Material Nonpublic Information about the Company and its subsidiaries shall disclose ("tip") Material Nonpublic Information to any other person inside the Company whose job or role does not require them to have that information or to any person outside the Company (including family members or friends) concerning the Company or its subsidiaries, nor shall such Insider or related person make recommendations or express opinions as to trading in the Company's securities on the basis of Material Nonpublic Information, in either case without the Company's authorization.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Certain forms of hedging or monetization transactions, such as zero-cost collars and forward sale contracts, allow an Insider to lock in much of the value of his or her stock holdings, often in exchange for all or part of the potential for upside appreciation in the stock. These transactions allow the Insider to continue to own the covered securities, but without the full risks and rewards of ownership. When that occurs, the Insider may no longer have the same objectives as the Company's other stockholders. Therefore, these types of transactions are prohibited by this Policy.</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Accounts</w:t>
      </w:r>
      <w:r>
        <w:rPr>
          <w:rFonts w:ascii="Times New Roman" w:cs="Times New Roman" w:eastAsia="Times New Roman" w:hAnsi="Times New Roman"/>
          <w:sz w:val="18"/>
          <w:szCs w:val="18"/>
          <w:color w:val="auto"/>
        </w:rPr>
        <w:t>. Securities held in a margin account may be sold without your consent by a broker if you fail to meet a margin call. Because a margin sale may occur at any time when an Insider is aware of Material Nonpublic Information or otherwise are not permitted to trade in the Company's securities, all Insiders are prohibited from holding the Company's securities in a margin account. However, the Company may, on a case-by-case basis, grant an exception to this prohibition and permit an Insider to hold Company Securities in a margin account or otherwise pledge Company securities as collateral for a loan. Any such exception must be approved in advance by the Compliance Officer. The Compliance Officer may consider any factors he or she deems relevant in deciding whether to approve a margin account or pledge, including the financial capacity of the Insider to satisfy any obligation without resort to the pledged shares and whether the obligations pursuant to the margin account or pledge are full recourse to the Insider. If the Insider is subject to the Addendum to this Policy, any such margin account or pledge may not be established during any Quarterly Blackout Period or Event-Specific Blackout as provided in the Addendum.</w:t>
      </w:r>
    </w:p>
    <w:p>
      <w:pPr>
        <w:spacing w:after="0" w:line="188"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Exception for Hardship</w:t>
      </w:r>
      <w:r>
        <w:rPr>
          <w:rFonts w:ascii="Times New Roman" w:cs="Times New Roman" w:eastAsia="Times New Roman" w:hAnsi="Times New Roman"/>
          <w:sz w:val="18"/>
          <w:szCs w:val="18"/>
          <w:color w:val="auto"/>
        </w:rPr>
        <w:t>. The existence of a personal financial emergency does not excuse any Insider from compliance with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of Nonpublic Information</w:t>
      </w:r>
      <w:r>
        <w:rPr>
          <w:rFonts w:ascii="Times New Roman" w:cs="Times New Roman" w:eastAsia="Times New Roman" w:hAnsi="Times New Roman"/>
          <w:sz w:val="18"/>
          <w:szCs w:val="18"/>
          <w:color w:val="auto"/>
        </w:rPr>
        <w:t>. Material Nonpublic Information relating to the Company is the property of the Company and the unauthorized disclosure of such information is forbidden. In the event any officer, director, employee or consultant of the Company receives any inquiry from outside the Company, such as a stock analyst, for information (particularly financial results and/or projections), the inquiry should be referred to the Company's Chief Financial Officer, who is responsible for coordinating and overseeing the release of such information to the investing public, analysts and others in compliance with applicable laws and regulations.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jc w:val="both"/>
        <w:ind w:firstLine="656"/>
        <w:spacing w:after="0" w:line="258" w:lineRule="auto"/>
        <w:tabs>
          <w:tab w:leader="none" w:pos="144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and Pre-Clearance Procedures</w:t>
      </w:r>
      <w:r>
        <w:rPr>
          <w:rFonts w:ascii="Times New Roman" w:cs="Times New Roman" w:eastAsia="Times New Roman" w:hAnsi="Times New Roman"/>
          <w:sz w:val="18"/>
          <w:szCs w:val="18"/>
          <w:color w:val="auto"/>
        </w:rPr>
        <w:t>. To help prevent inadvertent violations of the federal securities laws and to avoid even the appearance of trading on the basis of inside information, the Company's Board of directors has adopted an Addendum to this Policy that applies to Company directors, executive officers subject to Section 16 of the Securities Exchange Act of 1934 ("executive officers"), and certain designated employees and consultants of the Company and its subsidiaries who have access to Material Nonpublic Information about the Company. The Company will notify you if you are subject to the Addendum.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Addendum generally prohibits persons covered by it from trading in the Company's securities during quarterly blackout periods and during certain event-specific and fact-specific blackouts. The quarterly blackout periods coincide with the consolidation and distribution of the financial results for the second month of each fiscal quarter. These financial results will be accompanied by a notification from the Chief Financial Officer announcing the immediate closing of the trading window, which will reopen at the beginning of the second trading day following the release of the Company's earnings for that quarter, barring any other fact-specific or event-specific blackout. Persons covered by the Addendum also must pre-clear all transactions in the Company's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Potential Criminal and Civil Liability and/or Disciplinary Action</w:t>
      </w:r>
    </w:p>
    <w:p>
      <w:pPr>
        <w:spacing w:after="0" w:line="229" w:lineRule="exact"/>
        <w:rPr>
          <w:sz w:val="20"/>
          <w:szCs w:val="20"/>
          <w:color w:val="auto"/>
        </w:rPr>
      </w:pPr>
    </w:p>
    <w:p>
      <w:pPr>
        <w:jc w:val="both"/>
        <w:ind w:firstLine="656"/>
        <w:spacing w:after="0" w:line="254" w:lineRule="auto"/>
        <w:tabs>
          <w:tab w:leader="none" w:pos="120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for Insider Trading</w:t>
      </w:r>
      <w:r>
        <w:rPr>
          <w:rFonts w:ascii="Times New Roman" w:cs="Times New Roman" w:eastAsia="Times New Roman" w:hAnsi="Times New Roman"/>
          <w:sz w:val="18"/>
          <w:szCs w:val="18"/>
          <w:color w:val="auto"/>
        </w:rPr>
        <w:t>. Pursuant to federal and state securities laws, potential 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A person who violates insider trading laws by engaging in transactions in the Company's securities when he or she has Material Nonpublic Information can be sentenced to a substantial jail term and required to pay a criminal penalty of several times the amount of profits gained or losses avoided.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can also seek substantial civil penalties from any person who, at the time of an insider trading violation, "directly or indirectly controlled the person who committed such violation," which would apply to the Company and/or management and supervisory personnel. Even for violations that result in a small or no profit, the SEC can seek penalties from a company and/or its management and supervisory personnel as control persons.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for Tipping</w:t>
      </w:r>
      <w:r>
        <w:rPr>
          <w:rFonts w:ascii="Times New Roman" w:cs="Times New Roman" w:eastAsia="Times New Roman" w:hAnsi="Times New Roman"/>
          <w:sz w:val="18"/>
          <w:szCs w:val="18"/>
          <w:color w:val="auto"/>
        </w:rPr>
        <w:t>. Insiders may also be liable for improper transactions by any person (commonly referred to as a "tippee") to whom they have disclosed Material Nonpublic Information regarding the Company or to whom they have made recommendations or expressed opinions as to trading in the Company's securities on the basis of such information. Tippers can be subject to the same penalties and sanctions as the tippees, and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34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Possible Disciplinary Actions</w:t>
      </w:r>
      <w:r>
        <w:rPr>
          <w:rFonts w:ascii="Times New Roman" w:cs="Times New Roman" w:eastAsia="Times New Roman" w:hAnsi="Times New Roman"/>
          <w:sz w:val="18"/>
          <w:szCs w:val="18"/>
          <w:color w:val="auto"/>
        </w:rPr>
        <w:t>. The Company may also impose sanctions for failure to comply with this Policy, including dismissal for cause, whether or not your failure to comply with this Policy results in a violation of law.</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Responsibility</w:t>
      </w:r>
      <w:r>
        <w:rPr>
          <w:rFonts w:ascii="Times New Roman" w:cs="Times New Roman" w:eastAsia="Times New Roman" w:hAnsi="Times New Roman"/>
          <w:sz w:val="18"/>
          <w:szCs w:val="18"/>
          <w:color w:val="auto"/>
        </w:rPr>
        <w:t>. Every officer, director, employee and consultant has the individual responsibility to comply with this Policy against insider trading and to maintain the confidentiality of information about the Company and to not engage in transactions in Company securities while in possession of Material Nonpublic Information.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 Each individual is responsible for making sure that he or she complies with this Policy, and that any family member, household member or entity whose transactions are subject to this Policy also complies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Applicability of Policy to Inside Information Regarding Other Companies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distributors, vendors or suppliers ("Business Partners"), when that information is obtained in the course of employment with, or during the rendering of services by or on behalf of, the Company or its subsidiaries. Civil and criminal penalties, and termination of employment, may result from trading on or entering into any transaction related to inside information regarding the Company's Business Partners. All officers, directors, employees and consultants should treat Material Nonpublic Information about the Company's Business Partners with the same care required with respect to information related directly to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Material Nonpublic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Information should be regarded as (1) material if it has market significance, that is, if its public dissemination is likely to affect the market price of securities, or if there is a reasonable likelihood that it would be considered important to an investor in making an investment decision regarding the purchase or sale of the Company's securities or the securities of the Company's Business Partners and (2) nonpublic if the information has not been previously disclosed to the general public and is otherwise not available to the general public such as in a press release or an SEC filing (such information is referred to as "Material Nonpublic Information").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183" w:lineRule="exact"/>
        <w:rPr>
          <w:sz w:val="20"/>
          <w:szCs w:val="20"/>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guidance</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but unannounced future earnings or losses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or termination of significant contracts with distributors, customers, collaborators and other business partners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or other acquisition</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the disposition, construction, acquisition, pledging or license of significant assets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risk or incident involving the Company, including relating to customers, suppliers, employees or any Company data</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or other intellectual property milestones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achievements or other developments from research efforts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involving corporate relationships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 or a stock repurchase program</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of a significant nature</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product defects or modifications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4" w:name="page225"/>
    <w:bookmarkEnd w:id="224"/>
    <w:p>
      <w:pPr>
        <w:ind w:left="1060" w:hanging="323"/>
        <w:spacing w:after="0"/>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w:t>
      </w:r>
    </w:p>
    <w:p>
      <w:pPr>
        <w:spacing w:after="0" w:line="2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developments in outstanding litigation</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senior management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Either positive or negative information may be material.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open of business on the second trading day after the information was publicly disclosed before you can treat the information as public.</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Non-public information may include:</w:t>
      </w:r>
    </w:p>
    <w:p>
      <w:pPr>
        <w:spacing w:after="0" w:line="225"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facts that are the subject of rumors, even if the rumors are widely circulated;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you are not sure whether information is considered material and/or public, you should either consult with the Company's General Counsel or assume that the information is material and non-public and treat it as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Policy continues to apply to transactions by an Insider in the Company's securities even after the Insider's employment or services to the Company or one of its subsidiaries have terminated until any Material Nonpublic Information concerning the Company that the Insider possesses as of the date of termination has become public. Post-Insider transactions are not subject to the Addendum.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Certain Exceptions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under Company Stock Incentive Plans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Company's insider trading policy does not apply to the exercise of an employee stock option granted by the Company, the exercise of stock appreciation rights under the Company's stock incentive plan, the grant of restricted stock or restricted stock units or other equity awards under the Company's stock incentive plan (but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the sale of any shares issued upon such exercise or grant) or to the exercise of a tax withholding right pursuant to which you elect to have the Company withhold shares subject to such an option to satisfy tax withholding requirements. Nor does it apply to your surrender to the Company of previously owned shares to pay the option exercise price. The policy does apply, however, to any sale of stock as part of a broker-assisted cashless exercise of an option or following the vesting of restricted stock, or any other market sale. In other words, while the exercise of an employee stock option is not subject to the policy, any sale of the shares acquired upon exercise (other than to the Company) is subject to the policy.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auto"/>
        </w:rPr>
        <w:t>Bona Fide Gifts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Policy, the Company considers that bona fide gifts of the securities of the Company are exempt from this Policy, unless the Insider making the gift has reason to believe that the recipient intends to sell the Company Securities while the Insider is aware of Material Nonpublic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 Purchase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insider trading policy does not apply to purchases of Company stock in the Company employee stock purchase plan resulting from your periodic withholding of compensation under the plan's election forms for the purpose of purchasing Company stock. Instead, your purchase of Company stock under the plan is subject to the terms and conditions of the plan in effect at the time of such purchase.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Inquiries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compliance with this Policy is extremely important to you and the Company. If you have any questions about this Policy or its application please address them to the CFO or General Counsel. Do not try to resolve uncertainties on your own, as the rules relating to insider trading are complex and there can be severe consequences for any violation of the rules.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Insider Trading Policy is dated March 1, 2023 and supersedes any previous policy of the Company concerning insider trading.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JOHNSON OUTDOORS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TO INSIDER TRADING POLICY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PRE-CLEARANCE AND BLACKOUT PROCEDURES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is an Addendum to the Insider Trading Policy of Johnson Outdoors Inc. (the "Company"). You should carefully review the Insider Trading Policy along with this Addendum for important terms and definitions that relate to this Addendum, including the definition of Material Nonpublic Information. This Addendum is in addition to and supplements the Insider Trading Policy.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help prevent inadvertent violations of the federal securities laws and to avoid even the appearance of trading on inside information, the Company's Board of Directors has adopted this Addendum. This Addendum applies to directors, executive officers subject to Section 16 of the Securities Exchange Act of 1934 ("executive officers") and certain designated employees of the Company or its subsidiaries (collectively, "Covered Persons"). The names of the Covered Persons subject to this Addendum are listed on the attached Schedule 1. The Company may amend Schedule 1 from time to time as necessary to reflect any changes it deems appropriate, such as the appointment, resignation or change in status of any individual.</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This Addendum also includes additional procedures designed to address the two- business day Form 4 filing requirement under Section 16.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Blackout Procedures</w:t>
      </w:r>
    </w:p>
    <w:p>
      <w:pPr>
        <w:spacing w:after="0" w:line="229" w:lineRule="exact"/>
        <w:rPr>
          <w:sz w:val="20"/>
          <w:szCs w:val="20"/>
          <w:color w:val="auto"/>
        </w:rPr>
      </w:pPr>
    </w:p>
    <w:p>
      <w:pPr>
        <w:jc w:val="both"/>
        <w:ind w:firstLine="656"/>
        <w:spacing w:after="0" w:line="255" w:lineRule="auto"/>
        <w:tabs>
          <w:tab w:leader="none" w:pos="127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Blackout Periods for Covered Persons</w:t>
      </w:r>
      <w:r>
        <w:rPr>
          <w:rFonts w:ascii="Times New Roman" w:cs="Times New Roman" w:eastAsia="Times New Roman" w:hAnsi="Times New Roman"/>
          <w:sz w:val="18"/>
          <w:szCs w:val="18"/>
          <w:color w:val="auto"/>
        </w:rPr>
        <w:t>. The period commencing with the consolidation and distribution of the financial results for the second month of each fiscal quarter and ending at the beginning of the second trading day following the date of public disclosure of the financial results for that quarter is a particularly sensitive period of time for transactions in the Company's stock from the perspective of compliance with applicable securities laws. This sensitivity is due to the fact that the Covered Persons will, during that period, often possess Material Nonpublic Information about the expected financial results for the quarter during that period. Accordingly, this period of time is referred to as a "Quarterly Blackout Period." All Covered Persons are prohibited from trading or engaging in any transaction that involves the purchase or sale of the Company's securities during the Quarterly Blackout Period.</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9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Event-Specific Blackout Periods</w:t>
      </w:r>
      <w:r>
        <w:rPr>
          <w:rFonts w:ascii="Times New Roman" w:cs="Times New Roman" w:eastAsia="Times New Roman" w:hAnsi="Times New Roman"/>
          <w:sz w:val="18"/>
          <w:szCs w:val="18"/>
          <w:color w:val="auto"/>
        </w:rPr>
        <w:t>. In addition to the Quarterly Blackout Periods, from time to time, Material Nonpublic Information regarding the Company may be pending. While such information is pending, the Company may impose a special Event- Specific Blackout Period during which the same prohibitions on trading the Company's securities shall apply. The Company will notify those persons who are subject to any Event-Specific Blackout Period. All officers, directors, employees, consultants and contractors of the Company and its subsidiaries are urged to remember that even if they are not subject to a Quarterly or Event-Specific Blackout Period, they are still prohibited from the unauthorized disclosure of any Material Nonpublic Information and the misuse of Material Nonpublic Information in securities trading</w:t>
      </w:r>
      <w:r>
        <w:rPr>
          <w:rFonts w:ascii="Times New Roman" w:cs="Times New Roman" w:eastAsia="Times New Roman" w:hAnsi="Times New Roman"/>
          <w:sz w:val="18"/>
          <w:szCs w:val="18"/>
          <w:b w:val="1"/>
          <w:bCs w:val="1"/>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7" w:name="page228"/>
    <w:bookmarkEnd w:id="227"/>
    <w:p>
      <w:pPr>
        <w:jc w:val="both"/>
        <w:ind w:firstLine="656"/>
        <w:spacing w:after="0" w:line="261" w:lineRule="auto"/>
        <w:tabs>
          <w:tab w:leader="none" w:pos="135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for Approved 10b5-1 Plans</w:t>
      </w:r>
      <w:r>
        <w:rPr>
          <w:rFonts w:ascii="Times New Roman" w:cs="Times New Roman" w:eastAsia="Times New Roman" w:hAnsi="Times New Roman"/>
          <w:sz w:val="18"/>
          <w:szCs w:val="18"/>
          <w:color w:val="auto"/>
        </w:rPr>
        <w:t>. Rule 10b5-1 under the Securities Exchange Act of 1934 provides an affirmative defense from insider trading liability under the federal securities laws for trading plans (referred to as 10b5-1 plans) that meet certain requirements. In general, a 10b5-1 plan must be entered into outside of a Blackout Period and at a time in which you do not have Material Nonpublic Information about the Company. In order to have a valid 10b5-1 plan, you must:</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binding contract to purchase or sell the security;</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 another person to purchase or sell the security for your account; or</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written plan for trading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Furthermore, the contract, plan or instructions must:</w:t>
      </w:r>
    </w:p>
    <w:p>
      <w:pPr>
        <w:spacing w:after="0" w:line="225" w:lineRule="exact"/>
        <w:rPr>
          <w:sz w:val="20"/>
          <w:szCs w:val="20"/>
          <w:color w:val="auto"/>
        </w:rPr>
      </w:pPr>
    </w:p>
    <w:p>
      <w:pPr>
        <w:ind w:left="1880" w:hanging="576"/>
        <w:spacing w:after="0"/>
        <w:tabs>
          <w:tab w:leader="none" w:pos="18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traded, the price at which they will be sold and the date of the transaction;</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formula for determining the amount, price and date; or</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permit the trader any influence over how, when or whether to effect a trade and no such influence may in fact be exercised.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enter into a 10b5-1 plan which is in writing and approved in advance by the Company's Chief Financial Officer and its General Counsel, then you may trade in the Company's securities pursuant to such 10b5-1 plan during a Blackout Period and while otherwise in possession of Material Nonpublic Information. See Addendum to Insider Trading Policy – Rule 10b5-1 Trading Plans.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approval of a Covered Person's Rule 10b5-1 plan does not constitute any advice or assurance to the Covered Person that the plan complies with Rule 10b5-1 or will result in an effective affirmative defense under the rule and such approval shall no way reduce or eliminate any Covered Person's obligations under Section 16 of the Exchange Act, including such person's disclosure and short-swing trading liabilities thereunder. If any questions arise, such person should consult with his or her own counsel in implementing a Rule 10b5-1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Preclearance of Trades by Covered Persons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determined that all Covered Persons must refrain from trading in the Company's securities or engaging in any transaction related to the Company's securities, even outside of a Blackout Period, without first complying with the Company's preclearance process. This preclearance requirement applies to stock option exercises, bona fide gifts and other transactions otherwise excepted from the Insider Trading Policy. Each such person must contact the Company's Chief Financial Officer and its General Counsel prior to commencing any trade in or transaction related to the Company's securities, including entering into a 10b5-1 plan. The Company's Chief Financial Officer and its General Counsel will consult as necessary with senior management of the Company before clearing any proposed trade.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 Directors and Executive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Directors and executive officers of the Company must also comply with the reporting obligations and limitations on short-swing transactions set forth in Section 16 of the Securities Exchange Act of 1934. The practical effect of these provisions is that directors and executive officers who purchase and sell the Company's securities within a six-month period must disgorge all profits to the Company whether or not they had knowledge of any Material Nonpublic Information. Under these provisions, </w:t>
      </w:r>
      <w:r>
        <w:rPr>
          <w:rFonts w:ascii="Times New Roman" w:cs="Times New Roman" w:eastAsia="Times New Roman" w:hAnsi="Times New Roman"/>
          <w:sz w:val="18"/>
          <w:szCs w:val="18"/>
          <w:u w:val="single" w:color="auto"/>
          <w:color w:val="auto"/>
        </w:rPr>
        <w:t>and so long as certain other criteria are met</w:t>
      </w:r>
      <w:r>
        <w:rPr>
          <w:rFonts w:ascii="Times New Roman" w:cs="Times New Roman" w:eastAsia="Times New Roman" w:hAnsi="Times New Roman"/>
          <w:sz w:val="18"/>
          <w:szCs w:val="18"/>
          <w:color w:val="auto"/>
        </w:rPr>
        <w:t>, neither the receipt of restricted stock, restricted stock units, an option, a stock appreciation right or any other equity award under the Company's stock incentive plans, nor the exercise of that option, stock appreciation right or other equity award is deemed a purchase under Section 16; however, the sale of any such shares is a sale under Section 16. Section 16 prohibits executive officers and directors from ever making a short sale of the Company's stock. A short sale is a sale of securities not owned by the seller or, if owned, not delivered (a "short sale against the box"). Transactions in put and call options for the Company's securities may in some instances constitute a short sale or may otherwise result in liability for short swing profits. All such transactions are prohibited by the Company's Insider Trading Policy.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Addendum to the Insider Trading Policy is dated March 1, 2023.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9" w:name="page230"/>
    <w:bookmarkEnd w:id="229"/>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2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ADDENDUM TO INSIDER TRADING POLICY –</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Policy is an Addendum to the Insider Trading Policy of Johnson Outdoors Inc.; it is in addition to and supplements the Insider Trading Policy. Defined terms have the same meaning as those given in the Insider Trading Policy, unless otherwise noted.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is designed to allow Insiders the opportunity to trade in Company shares pursuant to a written plan that complies with the requirements of Rule 10b5-1 of the Securities and Exchange Act of 1934, as amended (the “Act”). More specifically, it is intended to allow Insiders the opportunity to trade in Company shares during Quarterly Blackout Periods and Event-Specific Blackout Periods without risk of violating Company policy or federal securities laws, provided such trades comply with the terms of this Addendum. It is intended to offer greater certainty to Insiders when planning transactions in Company stock and greater flexibility in managing their personal financial affairs.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on Rule 10b5-1</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10 of the Act and Rule 10b5-1 prohibit the purchase or sale of a security on the basis of material non-public information. Rule 10b5-1 provides clarity regarding when trades are made “on the basis of” material non-public information and offers a “safe harbor” in the form of a Rule 10b5-1 trading plan (a “Plan”). A person executing pre-planned trades pursuant to a Plan that was established in good faith when that person was not in possession of material non-public information has an affirmative defense against charges of insider trading, even if actual trades made pursuant to the plan are executed at time when the individual may be in possession of material non-public information and would otherwise be a violation of applicable law. Rule 10b5-1 Plans are therefore considered especially relevant for Insiders.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Applicability of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applies to all transactions of the Company’s common stock and options for common stock, stock appreciation rights, restricted stock, restricted stock units or other equity awards received under the Company's stock incentive plan by Insiders pursuant to a pre-established trading plan that complies with the requirements of SEC Rule 10b5-1 and the Plan Requirements outlined below. Establishment of a Plan in compliance with this policy does not negate the prohibitions included in the Company’s Insider Trading Policy, including paragraphs 2 through 7, inclusive.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Plan Requirements</w:t>
      </w:r>
    </w:p>
    <w:p>
      <w:pPr>
        <w:spacing w:after="0" w:line="229" w:lineRule="exact"/>
        <w:rPr>
          <w:sz w:val="20"/>
          <w:szCs w:val="20"/>
          <w:color w:val="auto"/>
        </w:rPr>
      </w:pPr>
    </w:p>
    <w:p>
      <w:pPr>
        <w:ind w:right="20" w:firstLine="644"/>
        <w:spacing w:after="0" w:line="282" w:lineRule="auto"/>
        <w:tabs>
          <w:tab w:leader="none" w:pos="112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must be entered into in good faith and not as part of a scheme to avoid the prohibitions of federal securities laws and the Insider must act in good faith with respect to his or her Plan.</w:t>
      </w:r>
    </w:p>
    <w:p>
      <w:pPr>
        <w:spacing w:after="0" w:line="3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30" w:name="page231"/>
    <w:bookmarkEnd w:id="230"/>
    <w:p>
      <w:pPr>
        <w:ind w:left="247" w:right="20" w:firstLine="644"/>
        <w:spacing w:after="0" w:line="282" w:lineRule="auto"/>
        <w:tabs>
          <w:tab w:leader="none" w:pos="153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establishing the Plan must not be aware of any material non-public information concerning the Company or its securities at the time the Plan is established.</w:t>
      </w:r>
    </w:p>
    <w:p>
      <w:pPr>
        <w:spacing w:after="0" w:line="161" w:lineRule="exact"/>
        <w:rPr>
          <w:rFonts w:ascii="Times New Roman" w:cs="Times New Roman" w:eastAsia="Times New Roman" w:hAnsi="Times New Roman"/>
          <w:sz w:val="18"/>
          <w:szCs w:val="18"/>
          <w:color w:val="auto"/>
        </w:rPr>
      </w:pPr>
    </w:p>
    <w:p>
      <w:pPr>
        <w:ind w:left="247" w:firstLine="644"/>
        <w:spacing w:after="0" w:line="282" w:lineRule="auto"/>
        <w:tabs>
          <w:tab w:leader="none" w:pos="1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Plan must specify the amount, price and date of the transaction(s) or include a written formula for determining the amount, price and date.</w:t>
      </w:r>
    </w:p>
    <w:p>
      <w:pPr>
        <w:spacing w:after="0" w:line="161" w:lineRule="exact"/>
        <w:rPr>
          <w:rFonts w:ascii="Times New Roman" w:cs="Times New Roman" w:eastAsia="Times New Roman" w:hAnsi="Times New Roman"/>
          <w:sz w:val="18"/>
          <w:szCs w:val="18"/>
          <w:color w:val="auto"/>
        </w:rPr>
      </w:pPr>
    </w:p>
    <w:p>
      <w:pPr>
        <w:ind w:left="1287" w:hanging="396"/>
        <w:spacing w:after="0"/>
        <w:tabs>
          <w:tab w:leader="none" w:pos="128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trading must not exercise any subsequent influence over how, when or whether to enter into transaction(s).</w:t>
      </w:r>
    </w:p>
    <w:p>
      <w:pPr>
        <w:spacing w:after="0" w:line="225" w:lineRule="exact"/>
        <w:rPr>
          <w:rFonts w:ascii="Times New Roman" w:cs="Times New Roman" w:eastAsia="Times New Roman" w:hAnsi="Times New Roman"/>
          <w:sz w:val="18"/>
          <w:szCs w:val="18"/>
          <w:color w:val="auto"/>
        </w:rPr>
      </w:pPr>
    </w:p>
    <w:p>
      <w:pPr>
        <w:ind w:left="1467" w:hanging="576"/>
        <w:spacing w:after="0"/>
        <w:tabs>
          <w:tab w:leader="none" w:pos="146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must be made pursuant to the Plan.</w:t>
      </w:r>
    </w:p>
    <w:p>
      <w:pPr>
        <w:spacing w:after="0" w:line="221"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29" w:lineRule="exact"/>
        <w:rPr>
          <w:sz w:val="20"/>
          <w:szCs w:val="20"/>
          <w:color w:val="auto"/>
        </w:rPr>
      </w:pPr>
    </w:p>
    <w:p>
      <w:pPr>
        <w:jc w:val="both"/>
        <w:ind w:left="647" w:hanging="647"/>
        <w:spacing w:after="0" w:line="254" w:lineRule="auto"/>
        <w:tabs>
          <w:tab w:leader="none" w:pos="64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Plan</w:t>
      </w:r>
      <w:r>
        <w:rPr>
          <w:rFonts w:ascii="Times New Roman" w:cs="Times New Roman" w:eastAsia="Times New Roman" w:hAnsi="Times New Roman"/>
          <w:sz w:val="18"/>
          <w:szCs w:val="18"/>
          <w:color w:val="auto"/>
        </w:rPr>
        <w:t>. An Insider may establish a Plan outside of Quarterly Blackout Periods and Event-Specific Periods when such individual is not aware of any material non-public information. Such individual must certify that s/he is not in possession of material non-public information as part of establishing the Plan. The Plan must be entered in good faith and not as part of a scheme to avoid the prohibitions of federal securities laws. Company approval is required to establish a Plan and the General Counsel is delegated responsibility for reviewing all proposed Plans to ensure that each Plan fully complies with the requirements of this Policy. Only shares that are owned free and clear of any and all restrictions and liabilities may be subject to a Plan. Shares made subject to a Plan may not be transferred outside of such Plan. An Insider may have only one Plan at any time and may not have multiple overlapping plans. Insiders may only rely on the affirmative defense for a single-trade plan to only one single-trade plan per twelve-month period.</w:t>
      </w:r>
    </w:p>
    <w:p>
      <w:pPr>
        <w:spacing w:after="0" w:line="19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Terms</w:t>
      </w:r>
      <w:r>
        <w:rPr>
          <w:rFonts w:ascii="Times New Roman" w:cs="Times New Roman" w:eastAsia="Times New Roman" w:hAnsi="Times New Roman"/>
          <w:sz w:val="18"/>
          <w:szCs w:val="18"/>
          <w:color w:val="auto"/>
        </w:rPr>
        <w:t>. The Plan must specify the amount, price and date of transaction(s) or include a written formula for determining the amount, price and date of transactions. The Plan should be tailored to the specific needs of the Insider who establishes the Plan.</w:t>
      </w:r>
    </w:p>
    <w:p>
      <w:pPr>
        <w:spacing w:after="0" w:line="161" w:lineRule="exact"/>
        <w:rPr>
          <w:rFonts w:ascii="Times New Roman" w:cs="Times New Roman" w:eastAsia="Times New Roman" w:hAnsi="Times New Roman"/>
          <w:sz w:val="18"/>
          <w:szCs w:val="18"/>
          <w:color w:val="auto"/>
        </w:rPr>
      </w:pPr>
    </w:p>
    <w:p>
      <w:pPr>
        <w:ind w:left="967" w:hanging="319"/>
        <w:spacing w:after="0" w:line="282" w:lineRule="auto"/>
        <w:tabs>
          <w:tab w:leader="none" w:pos="96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The amount may be either a specified number of shares or a specified dollar value of shares. The amount can be linked to an external factor such as the cost of tuition published by a particular college.</w:t>
      </w:r>
    </w:p>
    <w:p>
      <w:pPr>
        <w:spacing w:after="0" w:line="161" w:lineRule="exact"/>
        <w:rPr>
          <w:rFonts w:ascii="Times New Roman" w:cs="Times New Roman" w:eastAsia="Times New Roman" w:hAnsi="Times New Roman"/>
          <w:sz w:val="18"/>
          <w:szCs w:val="18"/>
          <w:color w:val="auto"/>
        </w:rPr>
      </w:pPr>
    </w:p>
    <w:p>
      <w:pPr>
        <w:ind w:left="967" w:hanging="319"/>
        <w:spacing w:after="0" w:line="282" w:lineRule="auto"/>
        <w:tabs>
          <w:tab w:leader="none" w:pos="96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 Plan may set minimum or maximum prices or prices that change over time, provided that the price targets or the method for determining the price targets are set forth in the Plan.</w:t>
      </w:r>
    </w:p>
    <w:p>
      <w:pPr>
        <w:spacing w:after="0" w:line="161" w:lineRule="exact"/>
        <w:rPr>
          <w:rFonts w:ascii="Times New Roman" w:cs="Times New Roman" w:eastAsia="Times New Roman" w:hAnsi="Times New Roman"/>
          <w:sz w:val="18"/>
          <w:szCs w:val="18"/>
          <w:color w:val="auto"/>
        </w:rPr>
      </w:pPr>
    </w:p>
    <w:p>
      <w:pPr>
        <w:ind w:left="967" w:hanging="319"/>
        <w:spacing w:after="0"/>
        <w:tabs>
          <w:tab w:leader="none" w:pos="96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 Plan can be designed to initiate a transaction upon a triggering event, such as the due date of a particular financial obligation.</w:t>
      </w:r>
    </w:p>
    <w:p>
      <w:pPr>
        <w:spacing w:after="0" w:line="225" w:lineRule="exact"/>
        <w:rPr>
          <w:rFonts w:ascii="Times New Roman" w:cs="Times New Roman" w:eastAsia="Times New Roman" w:hAnsi="Times New Roman"/>
          <w:sz w:val="18"/>
          <w:szCs w:val="18"/>
          <w:color w:val="auto"/>
        </w:rPr>
      </w:pPr>
    </w:p>
    <w:p>
      <w:pPr>
        <w:jc w:val="both"/>
        <w:ind w:left="967" w:hanging="319"/>
        <w:spacing w:after="0" w:line="254" w:lineRule="auto"/>
        <w:tabs>
          <w:tab w:leader="none" w:pos="96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A Plan’s duration should be designed to meet the needs of the Insider and also avoid the appearance of manipulation. Accordingly, there is no minimum duration of a Plan, but a Plan must terminate by no later than two years from the date it is established. For Company Directors and Section 16 Officers, trading under a Plan may not commence less than 90 days from the date such Plan is adopted or modified or two business days following disclosure in a Form 10-Q or Form 10-K of the Company's financial results for the quarter in which the Plan was adopted (but not to exceed 120 days following adoption or modification of the Plan), whichever is later. Trading under a Plan adopted by persons other than Company directors and officers may not commence less than 45 days from the date such Plan is established or the end of the then current Quarterly Blackout Period, whichever is later. A Plan may provide for the suspension of trading for certain specified events, including a merger, significant acquisition, corporate restructuring or death of the Insider establishing such Plan.</w:t>
      </w:r>
    </w:p>
    <w:p>
      <w:pPr>
        <w:spacing w:after="0" w:line="188"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Termination of a Plan</w:t>
      </w:r>
      <w:r>
        <w:rPr>
          <w:rFonts w:ascii="Times New Roman" w:cs="Times New Roman" w:eastAsia="Times New Roman" w:hAnsi="Times New Roman"/>
          <w:sz w:val="18"/>
          <w:szCs w:val="18"/>
          <w:color w:val="auto"/>
        </w:rPr>
        <w:t>. Modifications of a Plan are strongly discouraged absent compelling circumstances and, in such cases, only outside of Quarterly Blackout Periods and Event-Specific Periods when the Insider who established the Plan is not in possession of material non-public information. Termination of a Plan before the end of the Plan period is also strongly discouraged absent unusual circumstances. Insiders who terminate a Plan prematurely may not establish a subsequent Plan earlier than six months from the date of such prior termination.</w:t>
      </w:r>
    </w:p>
    <w:p>
      <w:pPr>
        <w:spacing w:after="0" w:line="355"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40640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7"/>
          </w:cols>
          <w:pgMar w:left="733" w:top="121" w:right="339" w:bottom="1440" w:gutter="0" w:footer="0" w:header="0"/>
        </w:sectPr>
      </w:pPr>
    </w:p>
    <w:bookmarkStart w:id="231" w:name="page232"/>
    <w:bookmarkEnd w:id="231"/>
    <w:p>
      <w:pPr>
        <w:jc w:val="both"/>
        <w:ind w:left="647" w:hanging="647"/>
        <w:spacing w:after="0" w:line="266" w:lineRule="auto"/>
        <w:tabs>
          <w:tab w:leader="none" w:pos="64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Execution of Plan</w:t>
      </w:r>
      <w:r>
        <w:rPr>
          <w:rFonts w:ascii="Times New Roman" w:cs="Times New Roman" w:eastAsia="Times New Roman" w:hAnsi="Times New Roman"/>
          <w:sz w:val="18"/>
          <w:szCs w:val="18"/>
          <w:color w:val="auto"/>
        </w:rPr>
        <w:t>. The third party who will execute trades under a Plan (the “administering broker”) must have no discretion or exercise any influence over how, when or whether to trade Company shares subject to a Plan. Once a Plan has been established, an Insider may have no further contact with the administering broker regarding the Plan (other than notification that trades have been executed).</w:t>
      </w:r>
    </w:p>
    <w:p>
      <w:pPr>
        <w:spacing w:after="0" w:line="175" w:lineRule="exact"/>
        <w:rPr>
          <w:rFonts w:ascii="Times New Roman" w:cs="Times New Roman" w:eastAsia="Times New Roman" w:hAnsi="Times New Roman"/>
          <w:sz w:val="18"/>
          <w:szCs w:val="18"/>
          <w:color w:val="auto"/>
        </w:rPr>
      </w:pPr>
    </w:p>
    <w:p>
      <w:pPr>
        <w:ind w:left="647" w:right="20" w:hanging="647"/>
        <w:spacing w:after="0" w:line="282" w:lineRule="auto"/>
        <w:tabs>
          <w:tab w:leader="none" w:pos="64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Reporting Requirements</w:t>
      </w:r>
      <w:r>
        <w:rPr>
          <w:rFonts w:ascii="Times New Roman" w:cs="Times New Roman" w:eastAsia="Times New Roman" w:hAnsi="Times New Roman"/>
          <w:sz w:val="18"/>
          <w:szCs w:val="18"/>
          <w:color w:val="auto"/>
        </w:rPr>
        <w:t>. Trades in Company shares must still comply with other regulatory reporting requirements, including Forms 3, 4 and 5, Schedules 13D and 13G.</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Trades Outside of Plan</w:t>
      </w:r>
      <w:r>
        <w:rPr>
          <w:rFonts w:ascii="Times New Roman" w:cs="Times New Roman" w:eastAsia="Times New Roman" w:hAnsi="Times New Roman"/>
          <w:sz w:val="18"/>
          <w:szCs w:val="18"/>
          <w:color w:val="auto"/>
        </w:rPr>
        <w:t>. Insiders who establish a Plan are strongly discouraged from entering into transactions in Company shares outside such Plan during its duration.</w:t>
      </w:r>
    </w:p>
    <w:p>
      <w:pPr>
        <w:spacing w:after="0" w:line="161" w:lineRule="exact"/>
        <w:rPr>
          <w:rFonts w:ascii="Times New Roman" w:cs="Times New Roman" w:eastAsia="Times New Roman" w:hAnsi="Times New Roman"/>
          <w:sz w:val="18"/>
          <w:szCs w:val="18"/>
          <w:color w:val="auto"/>
        </w:rPr>
      </w:pPr>
    </w:p>
    <w:p>
      <w:pPr>
        <w:ind w:left="647" w:right="20" w:hanging="647"/>
        <w:spacing w:after="0" w:line="282" w:lineRule="auto"/>
        <w:tabs>
          <w:tab w:leader="none" w:pos="64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reserves the right to disclose relevant information related to the adoption, modification, termination or suspension of any Plan established by an Insider.</w:t>
      </w:r>
    </w:p>
    <w:p>
      <w:pPr>
        <w:spacing w:after="0" w:line="158"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8"/>
          <w:szCs w:val="18"/>
          <w:b w:val="1"/>
          <w:bCs w:val="1"/>
          <w:u w:val="single" w:color="auto"/>
          <w:color w:val="auto"/>
        </w:rPr>
        <w:t>Inquiries</w:t>
      </w:r>
    </w:p>
    <w:p>
      <w:pPr>
        <w:spacing w:after="0" w:line="229" w:lineRule="exact"/>
        <w:rPr>
          <w:sz w:val="20"/>
          <w:szCs w:val="20"/>
          <w:color w:val="auto"/>
        </w:rPr>
      </w:pPr>
    </w:p>
    <w:p>
      <w:pPr>
        <w:jc w:val="both"/>
        <w:ind w:left="247"/>
        <w:spacing w:after="0" w:line="266" w:lineRule="auto"/>
        <w:rPr>
          <w:sz w:val="20"/>
          <w:szCs w:val="20"/>
          <w:color w:val="auto"/>
        </w:rPr>
      </w:pPr>
      <w:r>
        <w:rPr>
          <w:rFonts w:ascii="Times New Roman" w:cs="Times New Roman" w:eastAsia="Times New Roman" w:hAnsi="Times New Roman"/>
          <w:sz w:val="18"/>
          <w:szCs w:val="18"/>
          <w:color w:val="auto"/>
        </w:rPr>
        <w:t>Your compliance with this policy is extremely important to you and the Company. If you have any questions about this Policy Addendum or its application, please address them to the General Counsel. Do not try to resolve uncertainties on your own, as the rules relating to insider trading and Rule 10b5-1 plans are complex and there can be severe consequences for any violation of the rules.</w:t>
      </w:r>
    </w:p>
    <w:p>
      <w:pPr>
        <w:spacing w:after="0" w:line="176"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8"/>
          <w:szCs w:val="18"/>
          <w:color w:val="auto"/>
        </w:rPr>
        <w:t>This Policy Addendum is dated March 1, 2023.</w:t>
      </w:r>
    </w:p>
    <w:p>
      <w:pPr>
        <w:spacing w:after="0" w:line="396"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40640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7"/>
          </w:cols>
          <w:pgMar w:left="733" w:top="121"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6346190</wp:posOffset>
            </wp:positionH>
            <wp:positionV relativeFrom="page">
              <wp:posOffset>234950</wp:posOffset>
            </wp:positionV>
            <wp:extent cx="71120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711200" cy="17145"/>
                    </a:xfrm>
                    <a:prstGeom prst="rect">
                      <a:avLst/>
                    </a:prstGeom>
                    <a:noFill/>
                  </pic:spPr>
                </pic:pic>
              </a:graphicData>
            </a:graphic>
          </wp:anchor>
        </w:drawing>
        <w:t>Date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SCHEDULE 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JOHNSON OUTDOORS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OFFICERS, DIRECTORS AND OTHER PERSONNEL SUBJECT 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SECTION 16 AND PRECLEARANCE</w:t>
      </w:r>
    </w:p>
    <w:p>
      <w:pPr>
        <w:spacing w:after="0" w:line="207" w:lineRule="exact"/>
        <w:rPr>
          <w:sz w:val="20"/>
          <w:szCs w:val="20"/>
          <w:color w:val="auto"/>
        </w:rPr>
      </w:pPr>
    </w:p>
    <w:p>
      <w:pPr>
        <w:ind w:left="1080" w:right="8220" w:hanging="1077"/>
        <w:spacing w:after="0" w:line="532" w:lineRule="auto"/>
        <w:tabs>
          <w:tab w:leader="none" w:pos="53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-158750</wp:posOffset>
            </wp:positionV>
            <wp:extent cx="6412230" cy="1560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641223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0" w:hanging="537"/>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(including officers who are also directors):</w:t>
      </w:r>
    </w:p>
    <w:p>
      <w:pPr>
        <w:spacing w:after="0" w:line="225" w:lineRule="exact"/>
        <w:rPr>
          <w:sz w:val="20"/>
          <w:szCs w:val="20"/>
          <w:color w:val="auto"/>
        </w:rPr>
      </w:pPr>
    </w:p>
    <w:p>
      <w:pPr>
        <w:ind w:left="1100"/>
        <w:spacing w:after="0"/>
        <w:tabs>
          <w:tab w:leader="none" w:pos="5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17145</wp:posOffset>
            </wp:positionV>
            <wp:extent cx="463740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463740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171450</wp:posOffset>
            </wp:positionV>
            <wp:extent cx="6412230" cy="12515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6412230" cy="125158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1671955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40"/>
          </w:cols>
          <w:pgMar w:left="1000" w:top="378" w:right="1159" w:bottom="1440" w:gutter="0" w:footer="0" w:header="0"/>
        </w:sectPr>
      </w:pPr>
    </w:p>
    <w:bookmarkStart w:id="233" w:name="page234"/>
    <w:bookmarkEnd w:id="233"/>
    <w:p>
      <w:pPr>
        <w:ind w:left="537" w:hanging="537"/>
        <w:spacing w:after="0"/>
        <w:tabs>
          <w:tab w:leader="none" w:pos="537"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Employees Subject to Blackout Period and Preclearance of Trades:</w:t>
      </w:r>
    </w:p>
    <w:p>
      <w:pPr>
        <w:spacing w:after="0" w:line="237" w:lineRule="exact"/>
        <w:rPr>
          <w:sz w:val="20"/>
          <w:szCs w:val="20"/>
          <w:color w:val="auto"/>
        </w:rPr>
      </w:pPr>
    </w:p>
    <w:p>
      <w:pPr>
        <w:ind w:left="1097"/>
        <w:spacing w:after="0"/>
        <w:tabs>
          <w:tab w:leader="none" w:pos="5037"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463740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4637405" cy="1714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171450</wp:posOffset>
            </wp:positionV>
            <wp:extent cx="6412230" cy="12515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641223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40640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56"/>
          </w:cols>
          <w:pgMar w:left="1003" w:top="121" w:right="1440"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18"/>
          <w:szCs w:val="18"/>
          <w:color w:val="auto"/>
        </w:rPr>
        <w:t>JOHNSON OUTDOORS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INSIDER TRADING COMPLIANCE PROGRAM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PRECLEARANCE CHECKLIST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 Proposing to Trade or Enter into any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a Security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42773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Trade or Transaction, incl. no.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Manner of Trade or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Trade Date or 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Please review the requirements below and confirm as appropriate. If you are confirming a statement please check that box, if the statement is not applicable please check that box.</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Blackout Period</w:t>
      </w:r>
      <w:r>
        <w:rPr>
          <w:rFonts w:ascii="Times New Roman" w:cs="Times New Roman" w:eastAsia="Times New Roman" w:hAnsi="Times New Roman"/>
          <w:sz w:val="18"/>
          <w:szCs w:val="18"/>
          <w:color w:val="auto"/>
        </w:rPr>
        <w:t>. Confirm that the trade or transaction will be made or entered into outside the Company's "Blackout Period." Confirmed</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p>
    <w:p>
      <w:pPr>
        <w:spacing w:after="0" w:line="262" w:lineRule="exact"/>
        <w:rPr>
          <w:sz w:val="20"/>
          <w:szCs w:val="20"/>
          <w:color w:val="auto"/>
        </w:rPr>
      </w:pPr>
    </w:p>
    <w:p>
      <w:pPr>
        <w:ind w:right="40"/>
        <w:spacing w:after="0" w:line="255" w:lineRule="exact"/>
        <w:rPr>
          <w:sz w:val="20"/>
          <w:szCs w:val="20"/>
          <w:color w:val="auto"/>
        </w:rPr>
      </w:pPr>
      <w:r>
        <w:rPr>
          <w:rFonts w:ascii="Times New Roman" w:cs="Times New Roman" w:eastAsia="Times New Roman" w:hAnsi="Times New Roman"/>
          <w:sz w:val="18"/>
          <w:szCs w:val="18"/>
          <w:b w:val="1"/>
          <w:bCs w:val="1"/>
          <w:u w:val="single" w:color="auto"/>
          <w:color w:val="auto"/>
        </w:rPr>
        <w:t>Section 16 Compliance</w:t>
      </w:r>
      <w:r>
        <w:rPr>
          <w:rFonts w:ascii="Times New Roman" w:cs="Times New Roman" w:eastAsia="Times New Roman" w:hAnsi="Times New Roman"/>
          <w:sz w:val="18"/>
          <w:szCs w:val="18"/>
          <w:color w:val="auto"/>
        </w:rPr>
        <w:t>. Confirm, if the individual is an officer or director subject to Section 16, that the proposed trade or transaction will not give rise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potential liability under Section 16 as a result of matched past (or intended future) transactions. Confirmed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N/A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tabs>
          <w:tab w:leader="none" w:pos="9160" w:val="left"/>
        </w:tabs>
        <w:rPr>
          <w:sz w:val="20"/>
          <w:szCs w:val="20"/>
          <w:color w:val="auto"/>
        </w:rPr>
      </w:pPr>
      <w:r>
        <w:rPr>
          <w:rFonts w:ascii="Times New Roman" w:cs="Times New Roman" w:eastAsia="Times New Roman" w:hAnsi="Times New Roman"/>
          <w:sz w:val="18"/>
          <w:szCs w:val="18"/>
          <w:b w:val="1"/>
          <w:bCs w:val="1"/>
          <w:u w:val="single" w:color="auto"/>
          <w:color w:val="auto"/>
        </w:rPr>
        <w:t>Form 4</w:t>
      </w:r>
      <w:r>
        <w:rPr>
          <w:rFonts w:ascii="Times New Roman" w:cs="Times New Roman" w:eastAsia="Times New Roman" w:hAnsi="Times New Roman"/>
          <w:sz w:val="18"/>
          <w:szCs w:val="18"/>
          <w:color w:val="auto"/>
        </w:rPr>
        <w:t>. Confirm, if a Form 4 filing is required, that it has been or will be completed and will be timely filed. Confirmed</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N/A </w:t>
      </w:r>
      <w:r>
        <w:rPr>
          <w:rFonts w:ascii="MS PGothic" w:cs="MS PGothic" w:eastAsia="MS PGothic" w:hAnsi="MS PGothic"/>
          <w:sz w:val="17"/>
          <w:szCs w:val="17"/>
          <w:color w:val="auto"/>
        </w:rPr>
        <w:t>☐</w:t>
      </w:r>
    </w:p>
    <w:p>
      <w:pPr>
        <w:spacing w:after="0" w:line="262" w:lineRule="exact"/>
        <w:rPr>
          <w:sz w:val="20"/>
          <w:szCs w:val="20"/>
          <w:color w:val="auto"/>
        </w:rPr>
      </w:pPr>
    </w:p>
    <w:p>
      <w:pPr>
        <w:ind w:right="140"/>
        <w:spacing w:after="0" w:line="241" w:lineRule="exact"/>
        <w:rPr>
          <w:sz w:val="20"/>
          <w:szCs w:val="20"/>
          <w:color w:val="auto"/>
        </w:rPr>
      </w:pPr>
      <w:r>
        <w:rPr>
          <w:rFonts w:ascii="Times New Roman" w:cs="Times New Roman" w:eastAsia="Times New Roman" w:hAnsi="Times New Roman"/>
          <w:sz w:val="18"/>
          <w:szCs w:val="18"/>
          <w:b w:val="1"/>
          <w:bCs w:val="1"/>
          <w:u w:val="single" w:color="auto"/>
          <w:color w:val="auto"/>
        </w:rPr>
        <w:t>Prohibited Trades</w:t>
      </w:r>
      <w:r>
        <w:rPr>
          <w:rFonts w:ascii="Times New Roman" w:cs="Times New Roman" w:eastAsia="Times New Roman" w:hAnsi="Times New Roman"/>
          <w:sz w:val="18"/>
          <w:szCs w:val="18"/>
          <w:color w:val="auto"/>
        </w:rPr>
        <w:t>. Confirm, if the individual is an officer or director subject to Section 16, that the proposed transaction is not a "short sale," put, call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prohibited or strongly discouraged transaction. Confirmed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N/A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Rule 144 Compliance</w:t>
      </w:r>
      <w:r>
        <w:rPr>
          <w:rFonts w:ascii="Times New Roman" w:cs="Times New Roman" w:eastAsia="Times New Roman" w:hAnsi="Times New Roman"/>
          <w:sz w:val="18"/>
          <w:szCs w:val="18"/>
          <w:color w:val="auto"/>
        </w:rPr>
        <w:t>. If Rule 144 is not applicable, check here</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if Rule 144 compliance is applicable:</w:t>
      </w:r>
    </w:p>
    <w:p>
      <w:pPr>
        <w:spacing w:after="0" w:line="2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 Current public information requirements have been met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xml:space="preserve">, all 10-K, 10-Q and other reports during the last twelve months have been filed); Confirmed </w:t>
      </w:r>
      <w:r>
        <w:rPr>
          <w:rFonts w:ascii="MS PGothic" w:cs="MS PGothic" w:eastAsia="MS PGothic" w:hAnsi="MS PGothic"/>
          <w:sz w:val="18"/>
          <w:szCs w:val="18"/>
          <w:color w:val="auto"/>
        </w:rPr>
        <w:t>☐</w:t>
      </w:r>
    </w:p>
    <w:p>
      <w:pPr>
        <w:spacing w:after="0" w:line="130" w:lineRule="exact"/>
        <w:rPr>
          <w:sz w:val="20"/>
          <w:szCs w:val="20"/>
          <w:color w:val="auto"/>
        </w:rPr>
      </w:pPr>
    </w:p>
    <w:p>
      <w:pPr>
        <w:ind w:left="200" w:hanging="192"/>
        <w:spacing w:after="0" w:line="207" w:lineRule="exact"/>
        <w:tabs>
          <w:tab w:leader="none" w:pos="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are not restricted or, if restricted, the applicable holding period has been met; Confirmed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firstLine="8"/>
        <w:spacing w:after="0" w:line="239" w:lineRule="exact"/>
        <w:tabs>
          <w:tab w:leader="none" w:pos="25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Volume limitations (greater of 1% of outstanding Common Stock or average weekly trading volume last four weeks) are not exceeded (confirm the individual is not part of an aggregate group); Confirmed </w:t>
      </w:r>
      <w:r>
        <w:rPr>
          <w:rFonts w:ascii="MS PGothic" w:cs="MS PGothic" w:eastAsia="MS PGothic" w:hAnsi="MS PGothic"/>
          <w:sz w:val="18"/>
          <w:szCs w:val="18"/>
          <w:color w:val="auto"/>
        </w:rPr>
        <w:t>☐</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ind w:left="220" w:hanging="212"/>
        <w:spacing w:after="0" w:line="207" w:lineRule="exact"/>
        <w:tabs>
          <w:tab w:leader="none" w:pos="2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manner of sale requirements have been met ("broker's transaction" or directly with market maker); and Confirmed </w:t>
      </w:r>
      <w:r>
        <w:rPr>
          <w:rFonts w:ascii="MS PGothic" w:cs="MS PGothic" w:eastAsia="MS PGothic" w:hAnsi="MS PGothic"/>
          <w:sz w:val="18"/>
          <w:szCs w:val="18"/>
          <w:color w:val="auto"/>
        </w:rPr>
        <w:t>☐</w:t>
      </w:r>
    </w:p>
    <w:p>
      <w:pPr>
        <w:spacing w:after="0" w:line="224" w:lineRule="exact"/>
        <w:rPr>
          <w:rFonts w:ascii="Times New Roman" w:cs="Times New Roman" w:eastAsia="Times New Roman" w:hAnsi="Times New Roman"/>
          <w:sz w:val="18"/>
          <w:szCs w:val="18"/>
          <w:color w:val="auto"/>
        </w:rPr>
      </w:pPr>
    </w:p>
    <w:p>
      <w:pPr>
        <w:ind w:left="180" w:hanging="172"/>
        <w:spacing w:after="0" w:line="207" w:lineRule="exact"/>
        <w:tabs>
          <w:tab w:leader="none" w:pos="1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Form 144 notice has been completed and filed. Confirmed </w:t>
      </w:r>
      <w:r>
        <w:rPr>
          <w:rFonts w:ascii="MS PGothic" w:cs="MS PGothic" w:eastAsia="MS PGothic" w:hAnsi="MS PGothic"/>
          <w:sz w:val="18"/>
          <w:szCs w:val="18"/>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Rule 10b-5 Concerns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 that:</w:t>
      </w:r>
    </w:p>
    <w:p>
      <w:pPr>
        <w:spacing w:after="0" w:line="22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 The individual has been reminded that trading is prohibited when in possession of any material information regarding the Company that has not been adequately disclosed to the public; Confirmed </w:t>
      </w:r>
      <w:r>
        <w:rPr>
          <w:rFonts w:ascii="MS PGothic" w:cs="MS PGothic" w:eastAsia="MS PGothic" w:hAnsi="MS PGothic"/>
          <w:sz w:val="18"/>
          <w:szCs w:val="18"/>
          <w:color w:val="auto"/>
        </w:rPr>
        <w:t>☐</w:t>
      </w:r>
    </w:p>
    <w:p>
      <w:pPr>
        <w:spacing w:after="0" w:line="170" w:lineRule="exact"/>
        <w:rPr>
          <w:sz w:val="20"/>
          <w:szCs w:val="20"/>
          <w:color w:val="auto"/>
        </w:rPr>
      </w:pPr>
    </w:p>
    <w:p>
      <w:pPr>
        <w:ind w:right="80" w:firstLine="8"/>
        <w:spacing w:after="0" w:line="239" w:lineRule="exact"/>
        <w:tabs>
          <w:tab w:leader="none" w:pos="19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individual has discussed with the Compliance Officer any information known to the individual or the Compliance Officer which the individual believes may be material; and Confirmed </w:t>
      </w:r>
      <w:r>
        <w:rPr>
          <w:rFonts w:ascii="MS PGothic" w:cs="MS PGothic" w:eastAsia="MS PGothic" w:hAnsi="MS PGothic"/>
          <w:sz w:val="18"/>
          <w:szCs w:val="18"/>
          <w:color w:val="auto"/>
        </w:rPr>
        <w:t>☐</w:t>
      </w:r>
    </w:p>
    <w:p>
      <w:pPr>
        <w:spacing w:after="0" w:line="170" w:lineRule="exact"/>
        <w:rPr>
          <w:rFonts w:ascii="Times New Roman" w:cs="Times New Roman" w:eastAsia="Times New Roman" w:hAnsi="Times New Roman"/>
          <w:sz w:val="18"/>
          <w:szCs w:val="18"/>
          <w:color w:val="auto"/>
        </w:rPr>
      </w:pPr>
    </w:p>
    <w:p>
      <w:pPr>
        <w:ind w:right="200" w:firstLine="8"/>
        <w:spacing w:after="0" w:line="239" w:lineRule="exact"/>
        <w:tabs>
          <w:tab w:leader="none" w:pos="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events which have imposed a special prohibition upon this individual that precludes the individual from trading or entering into any transaction involving the Company's securities. Confirmed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265430</wp:posOffset>
            </wp:positionV>
            <wp:extent cx="355727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of Chief Financial Officer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317500</wp:posOffset>
            </wp:positionV>
            <wp:extent cx="355727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of General Counsel</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not trading, or if applicable, making a gift, on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300355</wp:posOffset>
            </wp:positionV>
            <wp:extent cx="355727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of Individual</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82" w:right="69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 AND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lists the principal direct and indirect subsidiaries of Johnson Outdoors Inc. as of October 3, 2025. Inactive subsidiaries are not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Jurisdiction in</w:t>
            </w:r>
          </w:p>
        </w:tc>
      </w:tr>
      <w:tr>
        <w:trPr>
          <w:trHeight w:val="245"/>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r>
              <w:rPr>
                <w:rFonts w:ascii="Times New Roman" w:cs="Times New Roman" w:eastAsia="Times New Roman" w:hAnsi="Times New Roman"/>
                <w:sz w:val="18"/>
                <w:szCs w:val="18"/>
                <w:color w:val="auto"/>
              </w:rPr>
              <w:t>(1)(2)</w:t>
            </w:r>
          </w:p>
        </w:tc>
        <w:tc>
          <w:tcPr>
            <w:tcW w:w="65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which Incorporated</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Outdoors Canada Inc.</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Johnson Outdoors Watercraft Inc.</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Outdoors Marine Electronics. Inc.</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Alabama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Johnson Outdoors Gear Inc.</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Outdoors Diving LLC</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Under Sea Industries, Inc.</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JWA Holding B.V.</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Johnson Beteiligungsellschaft GmbH</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Uwatec AG</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Scubapro Asia Pacific Ltd.</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P.T. Uwatec Batam</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Scubapro Espana, S.A.</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Scubapro AG</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Scubapro Europe Benelux, S.A.</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Outdoors France</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Scubapro/Uwatec France S.A.</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Scubapro Europe S.r.l</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Scubapro Italy S.r.l.</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Endless Summer Technologies Proprietary Limited</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Scubapro-Uwatec Australia Pty. Ltd.</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Outdoors Vertriebsgesellschaft GmbH</w:t>
            </w:r>
          </w:p>
        </w:tc>
        <w:tc>
          <w:tcPr>
            <w:tcW w:w="6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Germany</w:t>
            </w:r>
          </w:p>
        </w:tc>
      </w:tr>
    </w:tbl>
    <w:p>
      <w:pPr>
        <w:spacing w:after="0" w:line="198"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brackets, each company does business only under its legal name.</w:t>
      </w:r>
    </w:p>
    <w:p>
      <w:pPr>
        <w:spacing w:after="0" w:line="27" w:lineRule="exact"/>
        <w:rPr>
          <w:rFonts w:ascii="Times New Roman" w:cs="Times New Roman" w:eastAsia="Times New Roman" w:hAnsi="Times New Roman"/>
          <w:sz w:val="18"/>
          <w:szCs w:val="18"/>
          <w:color w:val="auto"/>
        </w:rPr>
      </w:pPr>
    </w:p>
    <w:p>
      <w:pPr>
        <w:ind w:left="660" w:right="720" w:hanging="652"/>
        <w:spacing w:after="0" w:line="260"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by footnote, each company is a wholly-owned subsidiary of Johnson Outdoors Inc. (through direct or indirect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w:t>
      </w:r>
    </w:p>
    <w:p>
      <w:pPr>
        <w:spacing w:after="0" w:line="22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333-271717, 333-238004, 333-217855, 333-217854, 333-166418, 333-166417, 033−19804, 033−19805, 033−35309, 033−50680, 033−52073, 033−54899, 033−59325, 033−61285, 333−88089, 333−88091, 333−84480, 333−84414, 333−107354 and 333−115298) on Form S-8 of Johnson Outdoors Inc. of our reports dated December 12, 2025, relating to the consolidated financial statements and the effectiveness of internal control over financial reporting of Johnson Outdoors Inc. appearing in this Annual Report on Form 10-K of Johnson Outdoors Inc. for the year ended October 3,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 or 15d-14(a) under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P. Johnson-Leipold, certify that:</w:t>
      </w:r>
    </w:p>
    <w:p>
      <w:pPr>
        <w:spacing w:after="0" w:line="225"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Johnson Outdoors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12, 2025</w:t>
      </w:r>
      <w:r>
        <w:rPr>
          <w:sz w:val="20"/>
          <w:szCs w:val="20"/>
          <w:color w:val="auto"/>
        </w:rPr>
        <w:tab/>
      </w:r>
      <w:r>
        <w:rPr>
          <w:rFonts w:ascii="Times New Roman" w:cs="Times New Roman" w:eastAsia="Times New Roman" w:hAnsi="Times New Roman"/>
          <w:sz w:val="17"/>
          <w:szCs w:val="17"/>
          <w:color w:val="auto"/>
        </w:rPr>
        <w:t>/s/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20611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Helen P. Johnson-Leipold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 or 15d-14(a) under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 Johnson, certify that:</w:t>
      </w:r>
    </w:p>
    <w:p>
      <w:pPr>
        <w:spacing w:after="0" w:line="225"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Johnson Outdoors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12, 2025</w:t>
      </w:r>
      <w:r>
        <w:rPr>
          <w:sz w:val="20"/>
          <w:szCs w:val="20"/>
          <w:color w:val="auto"/>
        </w:rPr>
        <w:tab/>
      </w:r>
      <w:r>
        <w:rPr>
          <w:rFonts w:ascii="Times New Roman" w:cs="Times New Roman" w:eastAsia="Times New Roman" w:hAnsi="Times New Roman"/>
          <w:sz w:val="17"/>
          <w:szCs w:val="17"/>
          <w:color w:val="auto"/>
        </w:rPr>
        <w:t>/s/ David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20611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W.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Statement of the Chairman and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I, the undersigned Chairman and Chief Executive Officer of Johnson Outdoors Inc. (the “Company”), hereby certify that the Annual Report on Form 10-K of the Company for the year ended October 3, 2025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P. Johnson-Leipold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Statement of the Vice President and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I, the undersigned Vice President and Chief Financial Officer of Johnson Outdoors Inc. (the “Company”), hereby certify that the Annual Report on Form 10-K of the Company for the year ended October 3, 2025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W. Johnson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certifications are made solely for the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1)"/>
      <w:numFmt w:val="lowerLetter"/>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1)"/>
      <w:numFmt w:val="lowerLetter"/>
      <w:start w:val="2"/>
    </w:lvl>
  </w:abstractNum>
  <w:abstractNum w:abstractNumId="13">
    <w:nsid w:val="7FFFCA11"/>
    <w:multiLevelType w:val="hybridMultilevel"/>
    <w:lvl w:ilvl="0">
      <w:lvlJc w:val="left"/>
      <w:lvlText w:val="(%1)"/>
      <w:numFmt w:val="decimal"/>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1"/>
      <w:numFmt w:val="decimal"/>
      <w:start w:val="19"/>
    </w:lvl>
  </w:abstractNum>
  <w:abstractNum w:abstractNumId="16">
    <w:nsid w:val="100F59DC"/>
    <w:multiLevelType w:val="hybridMultilevel"/>
    <w:lvl w:ilvl="0">
      <w:lvlJc w:val="left"/>
      <w:lvlText w:val="%1"/>
      <w:numFmt w:val="decimal"/>
      <w:start w:val="21"/>
    </w:lvl>
  </w:abstractNum>
  <w:abstractNum w:abstractNumId="17">
    <w:nsid w:val="7FB7E0AA"/>
    <w:multiLevelType w:val="hybridMultilevel"/>
    <w:lvl w:ilvl="0">
      <w:lvlJc w:val="left"/>
      <w:lvlText w:val="%1"/>
      <w:numFmt w:val="decimal"/>
      <w:start w:val="23"/>
    </w:lvl>
  </w:abstractNum>
  <w:abstractNum w:abstractNumId="18">
    <w:nsid w:val="6EB5BD4"/>
    <w:multiLevelType w:val="hybridMultilevel"/>
    <w:lvl w:ilvl="0">
      <w:lvlJc w:val="left"/>
      <w:lvlText w:val="%1"/>
      <w:numFmt w:val="decimal"/>
      <w:start w:val="101"/>
    </w:lvl>
  </w:abstractNum>
  <w:abstractNum w:abstractNumId="19">
    <w:nsid w:val="6F6DD9AC"/>
    <w:multiLevelType w:val="hybridMultilevel"/>
    <w:lvl w:ilvl="0">
      <w:lvlJc w:val="left"/>
      <w:lvlText w:val="+"/>
      <w:numFmt w:val="bullet"/>
      <w:start w:val="1"/>
    </w:lvl>
    <w:lvl w:ilvl="1">
      <w:lvlJc w:val="left"/>
      <w:lvlText w:val="%2"/>
      <w:numFmt w:val="decimal"/>
      <w:start w:val="104"/>
    </w:lvl>
  </w:abstractNum>
  <w:abstractNum w:abstractNumId="20">
    <w:nsid w:val="94211F2"/>
    <w:multiLevelType w:val="hybridMultilevel"/>
    <w:lvl w:ilvl="0">
      <w:lvlJc w:val="left"/>
      <w:lvlText w:val="(%1)"/>
      <w:numFmt w:val="decimal"/>
      <w:start w:val="1"/>
    </w:lvl>
  </w:abstractNum>
  <w:abstractNum w:abstractNumId="21">
    <w:nsid w:val="885E1B"/>
    <w:multiLevelType w:val="hybridMultilevel"/>
    <w:lvl w:ilvl="0">
      <w:lvlJc w:val="left"/>
      <w:lvlText w:val="(%1)"/>
      <w:numFmt w:val="lowerLetter"/>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1"/>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1)"/>
      <w:numFmt w:val="decimal"/>
      <w:start w:val="1"/>
    </w:lvl>
  </w:abstractNum>
  <w:abstractNum w:abstractNumId="29">
    <w:nsid w:val="2DF6D648"/>
    <w:multiLevelType w:val="hybridMultilevel"/>
    <w:lvl w:ilvl="0">
      <w:lvlJc w:val="left"/>
      <w:lvlText w:val="%1."/>
      <w:numFmt w:val="decimal"/>
      <w:start w:val="1"/>
    </w:lvl>
  </w:abstractNum>
  <w:abstractNum w:abstractNumId="30">
    <w:nsid w:val="46B7D447"/>
    <w:multiLevelType w:val="hybridMultilevel"/>
    <w:lvl w:ilvl="0">
      <w:lvlJc w:val="left"/>
      <w:lvlText w:val="(%1)"/>
      <w:numFmt w:val="lowerRoman"/>
      <w:start w:val="1"/>
    </w:lvl>
  </w:abstractNum>
  <w:abstractNum w:abstractNumId="31">
    <w:nsid w:val="4A2AC315"/>
    <w:multiLevelType w:val="hybridMultilevel"/>
    <w:lvl w:ilvl="0">
      <w:lvlJc w:val="left"/>
      <w:lvlText w:val="(%1)"/>
      <w:numFmt w:val="lowerRoman"/>
      <w:start w:val="2"/>
    </w:lvl>
  </w:abstractNum>
  <w:abstractNum w:abstractNumId="32">
    <w:nsid w:val="39EE015C"/>
    <w:multiLevelType w:val="hybridMultilevel"/>
    <w:lvl w:ilvl="0">
      <w:lvlJc w:val="left"/>
      <w:lvlText w:val="(%1)"/>
      <w:numFmt w:val="lowerLetter"/>
      <w:start w:val="1"/>
    </w:lvl>
  </w:abstractNum>
  <w:abstractNum w:abstractNumId="33">
    <w:nsid w:val="57FC4FBB"/>
    <w:multiLevelType w:val="hybridMultilevel"/>
    <w:lvl w:ilvl="0">
      <w:lvlJc w:val="left"/>
      <w:lvlText w:val="(%1)"/>
      <w:numFmt w:val="lowerLetter"/>
      <w:start w:val="3"/>
    </w:lvl>
  </w:abstractNum>
  <w:abstractNum w:abstractNumId="34">
    <w:nsid w:val="CC1016F"/>
    <w:multiLevelType w:val="hybridMultilevel"/>
    <w:lvl w:ilvl="0">
      <w:lvlJc w:val="left"/>
      <w:lvlText w:val="(%1)"/>
      <w:numFmt w:val="lowerLetter"/>
      <w:start w:val="3"/>
    </w:lvl>
  </w:abstractNum>
  <w:abstractNum w:abstractNumId="35">
    <w:nsid w:val="43F18422"/>
    <w:multiLevelType w:val="hybridMultilevel"/>
    <w:lvl w:ilvl="0">
      <w:lvlJc w:val="left"/>
      <w:lvlText w:val="(%1)"/>
      <w:numFmt w:val="lowerRoman"/>
      <w:start w:val="1"/>
    </w:lvl>
  </w:abstractNum>
  <w:abstractNum w:abstractNumId="36">
    <w:nsid w:val="60EF0119"/>
    <w:multiLevelType w:val="hybridMultilevel"/>
    <w:lvl w:ilvl="0">
      <w:lvlJc w:val="left"/>
      <w:lvlText w:val="(%1)"/>
      <w:numFmt w:val="lowerRoman"/>
      <w:start w:val="2"/>
    </w:lvl>
  </w:abstractNum>
  <w:abstractNum w:abstractNumId="37">
    <w:nsid w:val="26F324BA"/>
    <w:multiLevelType w:val="hybridMultilevel"/>
    <w:lvl w:ilvl="0">
      <w:lvlJc w:val="left"/>
      <w:lvlText w:val="(%1)"/>
      <w:numFmt w:val="lowerRoman"/>
      <w:start w:val="7"/>
    </w:lvl>
    <w:lvl w:ilvl="1">
      <w:lvlJc w:val="left"/>
      <w:lvlText w:val="(%2)"/>
      <w:numFmt w:val="decimal"/>
      <w:start w:val="1"/>
    </w:lvl>
  </w:abstractNum>
  <w:abstractNum w:abstractNumId="38">
    <w:nsid w:val="7F01579B"/>
    <w:multiLevelType w:val="hybridMultilevel"/>
    <w:lvl w:ilvl="0">
      <w:lvlJc w:val="left"/>
      <w:lvlText w:val="(%1)"/>
      <w:numFmt w:val="lowerRoman"/>
      <w:start w:val="1"/>
    </w:lvl>
  </w:abstractNum>
  <w:abstractNum w:abstractNumId="39">
    <w:nsid w:val="49DA307D"/>
    <w:multiLevelType w:val="hybridMultilevel"/>
    <w:lvl w:ilvl="0">
      <w:lvlJc w:val="left"/>
      <w:lvlText w:val="(%1)"/>
      <w:numFmt w:val="lowerRoman"/>
      <w:start w:val="2"/>
    </w:lvl>
  </w:abstractNum>
  <w:abstractNum w:abstractNumId="40">
    <w:nsid w:val="7055A5F5"/>
    <w:multiLevelType w:val="hybridMultilevel"/>
    <w:lvl w:ilvl="0">
      <w:lvlJc w:val="left"/>
      <w:lvlText w:val="(%1)"/>
      <w:numFmt w:val="upperLetter"/>
      <w:start w:val="1"/>
    </w:lvl>
  </w:abstractNum>
  <w:abstractNum w:abstractNumId="41">
    <w:nsid w:val="5FB8370B"/>
    <w:multiLevelType w:val="hybridMultilevel"/>
    <w:lvl w:ilvl="0">
      <w:lvlJc w:val="left"/>
      <w:lvlText w:val="(%1)"/>
      <w:numFmt w:val="lowerRoman"/>
      <w:start w:val="4"/>
    </w:lvl>
  </w:abstractNum>
  <w:abstractNum w:abstractNumId="42">
    <w:nsid w:val="50801EE1"/>
    <w:multiLevelType w:val="hybridMultilevel"/>
    <w:lvl w:ilvl="0">
      <w:lvlJc w:val="left"/>
      <w:lvlText w:val="(%1)"/>
      <w:numFmt w:val="lowerRoman"/>
      <w:start w:val="4"/>
    </w:lvl>
  </w:abstractNum>
  <w:abstractNum w:abstractNumId="43">
    <w:nsid w:val="488AC1A"/>
    <w:multiLevelType w:val="hybridMultilevel"/>
    <w:lvl w:ilvl="0">
      <w:lvlJc w:val="left"/>
      <w:lvlText w:val="%1."/>
      <w:numFmt w:val="decimal"/>
      <w:start w:val="2"/>
    </w:lvl>
  </w:abstractNum>
  <w:abstractNum w:abstractNumId="44">
    <w:nsid w:val="5FB8011C"/>
    <w:multiLevelType w:val="hybridMultilevel"/>
    <w:lvl w:ilvl="0">
      <w:lvlJc w:val="left"/>
      <w:lvlText w:val="(%1)"/>
      <w:numFmt w:val="lowerRoman"/>
      <w:start w:val="1"/>
    </w:lvl>
  </w:abstractNum>
  <w:abstractNum w:abstractNumId="45">
    <w:nsid w:val="6AA78F7F"/>
    <w:multiLevelType w:val="hybridMultilevel"/>
    <w:lvl w:ilvl="0">
      <w:lvlJc w:val="left"/>
      <w:lvlText w:val="(%1)"/>
      <w:numFmt w:val="lowerRoman"/>
      <w:start w:val="5"/>
    </w:lvl>
  </w:abstractNum>
  <w:abstractNum w:abstractNumId="46">
    <w:nsid w:val="7672BD23"/>
    <w:multiLevelType w:val="hybridMultilevel"/>
    <w:lvl w:ilvl="0">
      <w:lvlJc w:val="left"/>
      <w:lvlText w:val="(%1)"/>
      <w:numFmt w:val="lowerRoman"/>
      <w:start w:val="7"/>
    </w:lvl>
  </w:abstractNum>
  <w:abstractNum w:abstractNumId="47">
    <w:nsid w:val="6FC75AF8"/>
    <w:multiLevelType w:val="hybridMultilevel"/>
    <w:lvl w:ilvl="0">
      <w:lvlJc w:val="left"/>
      <w:lvlText w:val="(%1)"/>
      <w:numFmt w:val="lowerRoman"/>
      <w:start w:val="1"/>
    </w:lvl>
  </w:abstractNum>
  <w:abstractNum w:abstractNumId="48">
    <w:nsid w:val="6A5F7029"/>
    <w:multiLevelType w:val="hybridMultilevel"/>
    <w:lvl w:ilvl="0">
      <w:lvlJc w:val="left"/>
      <w:lvlText w:val="(%1)"/>
      <w:numFmt w:val="lowerRoman"/>
      <w:start w:val="2"/>
    </w:lvl>
    <w:lvl w:ilvl="1">
      <w:lvlJc w:val="left"/>
      <w:lvlText w:val="(%2)"/>
      <w:numFmt w:val="lowerLetter"/>
      <w:start w:val="1"/>
    </w:lvl>
  </w:abstractNum>
  <w:abstractNum w:abstractNumId="49">
    <w:nsid w:val="7D5E18F8"/>
    <w:multiLevelType w:val="hybridMultilevel"/>
    <w:lvl w:ilvl="0">
      <w:lvlJc w:val="left"/>
      <w:lvlText w:val="%1"/>
      <w:numFmt w:val="lowerRoman"/>
      <w:start w:val="1"/>
    </w:lvl>
    <w:lvl w:ilvl="1">
      <w:lvlJc w:val="left"/>
      <w:lvlText w:val="(%2)"/>
      <w:numFmt w:val="lowerLetter"/>
      <w:start w:val="3"/>
    </w:lvl>
  </w:abstractNum>
  <w:abstractNum w:abstractNumId="50">
    <w:nsid w:val="5F3534A4"/>
    <w:multiLevelType w:val="hybridMultilevel"/>
    <w:lvl w:ilvl="0">
      <w:lvlJc w:val="left"/>
      <w:lvlText w:val="(%1)"/>
      <w:numFmt w:val="lowerRoman"/>
      <w:start w:val="4"/>
    </w:lvl>
    <w:lvl w:ilvl="1">
      <w:lvlJc w:val="left"/>
      <w:lvlText w:val="%2"/>
      <w:numFmt w:val="lowerLetter"/>
      <w:start w:val="1"/>
    </w:lvl>
  </w:abstractNum>
  <w:abstractNum w:abstractNumId="51">
    <w:nsid w:val="73A1821B"/>
    <w:multiLevelType w:val="hybridMultilevel"/>
    <w:lvl w:ilvl="0">
      <w:lvlJc w:val="left"/>
      <w:lvlText w:val="(%1)"/>
      <w:numFmt w:val="lowerLetter"/>
      <w:start w:val="9"/>
    </w:lvl>
    <w:lvl w:ilvl="1">
      <w:lvlJc w:val="left"/>
      <w:lvlText w:val="(%2)"/>
      <w:numFmt w:val="lowerLetter"/>
      <w:start w:val="1"/>
    </w:lvl>
  </w:abstractNum>
  <w:abstractNum w:abstractNumId="52">
    <w:nsid w:val="7DE67713"/>
    <w:multiLevelType w:val="hybridMultilevel"/>
    <w:lvl w:ilvl="0">
      <w:lvlJc w:val="left"/>
      <w:lvlText w:val="(%1)"/>
      <w:numFmt w:val="lowerRoman"/>
      <w:start w:val="2"/>
    </w:lvl>
  </w:abstractNum>
  <w:abstractNum w:abstractNumId="53">
    <w:nsid w:val="555C55B5"/>
    <w:multiLevelType w:val="hybridMultilevel"/>
    <w:lvl w:ilvl="0">
      <w:lvlJc w:val="left"/>
      <w:lvlText w:val="(%1)"/>
      <w:numFmt w:val="lowerLetter"/>
      <w:start w:val="1"/>
    </w:lvl>
  </w:abstractNum>
  <w:abstractNum w:abstractNumId="54">
    <w:nsid w:val="3FA62ACA"/>
    <w:multiLevelType w:val="hybridMultilevel"/>
    <w:lvl w:ilvl="0">
      <w:lvlJc w:val="left"/>
      <w:lvlText w:val="(%1)"/>
      <w:numFmt w:val="lowerLetter"/>
      <w:start w:val="61"/>
    </w:lvl>
    <w:lvl w:ilvl="1">
      <w:lvlJc w:val="left"/>
      <w:lvlText w:val="(%2)"/>
      <w:numFmt w:val="lowerLetter"/>
      <w:start w:val="1"/>
    </w:lvl>
  </w:abstractNum>
  <w:abstractNum w:abstractNumId="55">
    <w:nsid w:val="14FCE74E"/>
    <w:multiLevelType w:val="hybridMultilevel"/>
    <w:lvl w:ilvl="0">
      <w:lvlJc w:val="left"/>
      <w:lvlText w:val="%1"/>
      <w:numFmt w:val="decimal"/>
      <w:start w:val="1"/>
    </w:lvl>
    <w:lvl w:ilvl="1">
      <w:lvlJc w:val="left"/>
      <w:lvlText w:val="%2."/>
      <w:numFmt w:val="decimal"/>
      <w:start w:val="3"/>
    </w:lvl>
  </w:abstractNum>
  <w:abstractNum w:abstractNumId="56">
    <w:nsid w:val="6A3DD3E8"/>
    <w:multiLevelType w:val="hybridMultilevel"/>
    <w:lvl w:ilvl="0">
      <w:lvlJc w:val="left"/>
      <w:lvlText w:val="%1."/>
      <w:numFmt w:val="decimal"/>
      <w:start w:val="4"/>
    </w:lvl>
    <w:lvl w:ilvl="1">
      <w:lvlJc w:val="left"/>
      <w:lvlText w:val="%2"/>
      <w:numFmt w:val="decimal"/>
      <w:start w:val="1"/>
    </w:lvl>
  </w:abstractNum>
  <w:abstractNum w:abstractNumId="57">
    <w:nsid w:val="71C91298"/>
    <w:multiLevelType w:val="hybridMultilevel"/>
    <w:lvl w:ilvl="0">
      <w:lvlJc w:val="left"/>
      <w:lvlText w:val="(%1)"/>
      <w:numFmt w:val="lowerRoman"/>
      <w:start w:val="1"/>
    </w:lvl>
  </w:abstractNum>
  <w:abstractNum w:abstractNumId="58">
    <w:nsid w:val="9DAF632"/>
    <w:multiLevelType w:val="hybridMultilevel"/>
    <w:lvl w:ilvl="0">
      <w:lvlJc w:val="left"/>
      <w:lvlText w:val="(%1)"/>
      <w:numFmt w:val="lowerRoman"/>
      <w:start w:val="2"/>
    </w:lvl>
  </w:abstractNum>
  <w:abstractNum w:abstractNumId="59">
    <w:nsid w:val="53299938"/>
    <w:multiLevelType w:val="hybridMultilevel"/>
    <w:lvl w:ilvl="0">
      <w:lvlJc w:val="left"/>
      <w:lvlText w:val="(%1)"/>
      <w:numFmt w:val="lowerRoman"/>
      <w:start w:val="1"/>
    </w:lvl>
  </w:abstractNum>
  <w:abstractNum w:abstractNumId="60">
    <w:nsid w:val="1FBFE8E0"/>
    <w:multiLevelType w:val="hybridMultilevel"/>
    <w:lvl w:ilvl="0">
      <w:lvlJc w:val="left"/>
      <w:lvlText w:val="(%1)"/>
      <w:numFmt w:val="lowerRoman"/>
      <w:start w:val="1"/>
    </w:lvl>
  </w:abstractNum>
  <w:abstractNum w:abstractNumId="61">
    <w:nsid w:val="5092CA79"/>
    <w:multiLevelType w:val="hybridMultilevel"/>
    <w:lvl w:ilvl="0">
      <w:lvlJc w:val="left"/>
      <w:lvlText w:val="(%1)"/>
      <w:numFmt w:val="lowerRoman"/>
      <w:start w:val="3"/>
    </w:lvl>
  </w:abstractNum>
  <w:abstractNum w:abstractNumId="62">
    <w:nsid w:val="1D545C4D"/>
    <w:multiLevelType w:val="hybridMultilevel"/>
    <w:lvl w:ilvl="0">
      <w:lvlJc w:val="left"/>
      <w:lvlText w:val="%1"/>
      <w:numFmt w:val="upperLetter"/>
      <w:start w:val="1"/>
    </w:lvl>
    <w:lvl w:ilvl="1">
      <w:lvlJc w:val="left"/>
      <w:lvlText w:val="(%2)"/>
      <w:numFmt w:val="decimal"/>
      <w:start w:val="1"/>
    </w:lvl>
  </w:abstractNum>
  <w:abstractNum w:abstractNumId="63">
    <w:nsid w:val="59ADEA3D"/>
    <w:multiLevelType w:val="hybridMultilevel"/>
    <w:lvl w:ilvl="0">
      <w:lvlJc w:val="left"/>
      <w:lvlText w:val="(%1)"/>
      <w:numFmt w:val="upperLetter"/>
      <w:start w:val="2"/>
    </w:lvl>
    <w:lvl w:ilvl="1">
      <w:lvlJc w:val="left"/>
      <w:lvlText w:val="%2"/>
      <w:numFmt w:val="decimal"/>
      <w:start w:val="1"/>
    </w:lvl>
  </w:abstractNum>
  <w:abstractNum w:abstractNumId="64">
    <w:nsid w:val="288F1A34"/>
    <w:multiLevelType w:val="hybridMultilevel"/>
    <w:lvl w:ilvl="0">
      <w:lvlJc w:val="left"/>
      <w:lvlText w:val="(%1)"/>
      <w:numFmt w:val="decimal"/>
      <w:start w:val="1"/>
    </w:lvl>
  </w:abstractNum>
  <w:abstractNum w:abstractNumId="65">
    <w:nsid w:val="2A155DBC"/>
    <w:multiLevelType w:val="hybridMultilevel"/>
    <w:lvl w:ilvl="0">
      <w:lvlJc w:val="left"/>
      <w:lvlText w:val="(%1)"/>
      <w:numFmt w:val="decimal"/>
      <w:start w:val="1"/>
    </w:lvl>
  </w:abstractNum>
  <w:abstractNum w:abstractNumId="66">
    <w:nsid w:val="1D9F6E5F"/>
    <w:multiLevelType w:val="hybridMultilevel"/>
    <w:lvl w:ilvl="0">
      <w:lvlJc w:val="left"/>
      <w:lvlText w:val="(%1)"/>
      <w:numFmt w:val="decimal"/>
      <w:start w:val="3"/>
    </w:lvl>
  </w:abstractNum>
  <w:abstractNum w:abstractNumId="67">
    <w:nsid w:val="97E1B4E"/>
    <w:multiLevelType w:val="hybridMultilevel"/>
    <w:lvl w:ilvl="0">
      <w:lvlJc w:val="left"/>
      <w:lvlText w:val="%1."/>
      <w:numFmt w:val="decimal"/>
      <w:start w:val="5"/>
    </w:lvl>
  </w:abstractNum>
  <w:abstractNum w:abstractNumId="68">
    <w:nsid w:val="51088277"/>
    <w:multiLevelType w:val="hybridMultilevel"/>
    <w:lvl w:ilvl="0">
      <w:lvlJc w:val="left"/>
      <w:lvlText w:val="(%1)"/>
      <w:numFmt w:val="lowerRoman"/>
      <w:start w:val="1"/>
    </w:lvl>
  </w:abstractNum>
  <w:abstractNum w:abstractNumId="69">
    <w:nsid w:val="1CA0C5FA"/>
    <w:multiLevelType w:val="hybridMultilevel"/>
    <w:lvl w:ilvl="0">
      <w:lvlJc w:val="left"/>
      <w:lvlText w:val="(%1)"/>
      <w:numFmt w:val="lowerRoman"/>
      <w:start w:val="1"/>
    </w:lvl>
  </w:abstractNum>
  <w:abstractNum w:abstractNumId="70">
    <w:nsid w:val="53584BCB"/>
    <w:multiLevelType w:val="hybridMultilevel"/>
    <w:lvl w:ilvl="0">
      <w:lvlJc w:val="left"/>
      <w:lvlText w:val="(%1)"/>
      <w:numFmt w:val="lowerRoman"/>
      <w:start w:val="1"/>
    </w:lvl>
  </w:abstractNum>
  <w:abstractNum w:abstractNumId="71">
    <w:nsid w:val="415E286C"/>
    <w:multiLevelType w:val="hybridMultilevel"/>
    <w:lvl w:ilvl="0">
      <w:lvlJc w:val="left"/>
      <w:lvlText w:val="(%1)"/>
      <w:numFmt w:val="lowerRoman"/>
      <w:start w:val="3"/>
    </w:lvl>
  </w:abstractNum>
  <w:abstractNum w:abstractNumId="72">
    <w:nsid w:val="7C58FD05"/>
    <w:multiLevelType w:val="hybridMultilevel"/>
    <w:lvl w:ilvl="0">
      <w:lvlJc w:val="left"/>
      <w:lvlText w:val="(%1)"/>
      <w:numFmt w:val="lowerRoman"/>
      <w:start w:val="1"/>
    </w:lvl>
    <w:lvl w:ilvl="1">
      <w:lvlJc w:val="left"/>
      <w:lvlText w:val="(%2)"/>
      <w:numFmt w:val="upperLetter"/>
      <w:start w:val="1"/>
    </w:lvl>
  </w:abstractNum>
  <w:abstractNum w:abstractNumId="73">
    <w:nsid w:val="23D86AAC"/>
    <w:multiLevelType w:val="hybridMultilevel"/>
    <w:lvl w:ilvl="0">
      <w:lvlJc w:val="left"/>
      <w:lvlText w:val="(%1)"/>
      <w:numFmt w:val="upperLetter"/>
      <w:start w:val="2"/>
    </w:lvl>
    <w:lvl w:ilvl="1">
      <w:lvlJc w:val="left"/>
      <w:lvlText w:val="(%2)"/>
      <w:numFmt w:val="lowerRoman"/>
      <w:start w:val="1"/>
    </w:lvl>
  </w:abstractNum>
  <w:abstractNum w:abstractNumId="74">
    <w:nsid w:val="45E6D486"/>
    <w:multiLevelType w:val="hybridMultilevel"/>
    <w:lvl w:ilvl="0">
      <w:lvlJc w:val="left"/>
      <w:lvlText w:val="(%1)"/>
      <w:numFmt w:val="upperLetter"/>
      <w:start w:val="4"/>
    </w:lvl>
  </w:abstractNum>
  <w:abstractNum w:abstractNumId="75">
    <w:nsid w:val="5C10FE21"/>
    <w:multiLevelType w:val="hybridMultilevel"/>
    <w:lvl w:ilvl="0">
      <w:lvlJc w:val="left"/>
      <w:lvlText w:val="(%1)"/>
      <w:numFmt w:val="lowerRoman"/>
      <w:start w:val="1"/>
    </w:lvl>
  </w:abstractNum>
  <w:abstractNum w:abstractNumId="76">
    <w:nsid w:val="E7FFA2B"/>
    <w:multiLevelType w:val="hybridMultilevel"/>
    <w:lvl w:ilvl="0">
      <w:lvlJc w:val="left"/>
      <w:lvlText w:val="(%1)"/>
      <w:numFmt w:val="lowerRoman"/>
      <w:start w:val="1"/>
    </w:lvl>
  </w:abstractNum>
  <w:abstractNum w:abstractNumId="77">
    <w:nsid w:val="3C5991AA"/>
    <w:multiLevelType w:val="hybridMultilevel"/>
    <w:lvl w:ilvl="0">
      <w:lvlJc w:val="left"/>
      <w:lvlText w:val="(%1)"/>
      <w:numFmt w:val="lowerRoman"/>
      <w:start w:val="1"/>
    </w:lvl>
  </w:abstractNum>
  <w:abstractNum w:abstractNumId="78">
    <w:nsid w:val="4BD8591A"/>
    <w:multiLevelType w:val="hybridMultilevel"/>
    <w:lvl w:ilvl="0">
      <w:lvlJc w:val="left"/>
      <w:lvlText w:val="(%1)"/>
      <w:numFmt w:val="lowerRoman"/>
      <w:start w:val="2"/>
    </w:lvl>
  </w:abstractNum>
  <w:abstractNum w:abstractNumId="79">
    <w:nsid w:val="78DF6A55"/>
    <w:multiLevelType w:val="hybridMultilevel"/>
    <w:lvl w:ilvl="0">
      <w:lvlJc w:val="left"/>
      <w:lvlText w:val="%1."/>
      <w:numFmt w:val="decimal"/>
      <w:start w:val="6"/>
    </w:lvl>
  </w:abstractNum>
  <w:abstractNum w:abstractNumId="80">
    <w:nsid w:val="39B7AAA2"/>
    <w:multiLevelType w:val="hybridMultilevel"/>
    <w:lvl w:ilvl="0">
      <w:lvlJc w:val="left"/>
      <w:lvlText w:val="(%1)"/>
      <w:numFmt w:val="lowerRoman"/>
      <w:start w:val="1"/>
    </w:lvl>
  </w:abstractNum>
  <w:abstractNum w:abstractNumId="81">
    <w:nsid w:val="2B0D8DBE"/>
    <w:multiLevelType w:val="hybridMultilevel"/>
    <w:lvl w:ilvl="0">
      <w:lvlJc w:val="left"/>
      <w:lvlText w:val="(%1)"/>
      <w:numFmt w:val="lowerRoman"/>
      <w:start w:val="1"/>
    </w:lvl>
  </w:abstractNum>
  <w:abstractNum w:abstractNumId="82">
    <w:nsid w:val="6C80EC70"/>
    <w:multiLevelType w:val="hybridMultilevel"/>
    <w:lvl w:ilvl="0">
      <w:lvlJc w:val="left"/>
      <w:lvlText w:val="(%1)"/>
      <w:numFmt w:val="lowerLetter"/>
      <w:start w:val="2"/>
    </w:lvl>
  </w:abstractNum>
  <w:abstractNum w:abstractNumId="83">
    <w:nsid w:val="379E21B5"/>
    <w:multiLevelType w:val="hybridMultilevel"/>
    <w:lvl w:ilvl="0">
      <w:lvlJc w:val="left"/>
      <w:lvlText w:val="%1."/>
      <w:numFmt w:val="decimal"/>
      <w:start w:val="7"/>
    </w:lvl>
  </w:abstractNum>
  <w:abstractNum w:abstractNumId="84">
    <w:nsid w:val="69E373"/>
    <w:multiLevelType w:val="hybridMultilevel"/>
    <w:lvl w:ilvl="0">
      <w:lvlJc w:val="left"/>
      <w:lvlText w:val="(%1)"/>
      <w:numFmt w:val="lowerRoman"/>
      <w:start w:val="1"/>
    </w:lvl>
  </w:abstractNum>
  <w:abstractNum w:abstractNumId="85">
    <w:nsid w:val="2C27173B"/>
    <w:multiLevelType w:val="hybridMultilevel"/>
    <w:lvl w:ilvl="0">
      <w:lvlJc w:val="left"/>
      <w:lvlText w:val="(%1)"/>
      <w:numFmt w:val="lowerRoman"/>
      <w:start w:val="7"/>
    </w:lvl>
  </w:abstractNum>
  <w:abstractNum w:abstractNumId="86">
    <w:nsid w:val="4C9B0904"/>
    <w:multiLevelType w:val="hybridMultilevel"/>
    <w:lvl w:ilvl="0">
      <w:lvlJc w:val="left"/>
      <w:lvlText w:val="%1."/>
      <w:numFmt w:val="decimal"/>
      <w:start w:val="8"/>
    </w:lvl>
  </w:abstractNum>
  <w:abstractNum w:abstractNumId="87">
    <w:nsid w:val="6AA7B75C"/>
    <w:multiLevelType w:val="hybridMultilevel"/>
    <w:lvl w:ilvl="0">
      <w:lvlJc w:val="left"/>
      <w:lvlText w:val="(%1)"/>
      <w:numFmt w:val="lowerRoman"/>
      <w:start w:val="1"/>
    </w:lvl>
  </w:abstractNum>
  <w:abstractNum w:abstractNumId="88">
    <w:nsid w:val="1DF029D3"/>
    <w:multiLevelType w:val="hybridMultilevel"/>
    <w:lvl w:ilvl="0">
      <w:lvlJc w:val="left"/>
      <w:lvlText w:val="(%1)"/>
      <w:numFmt w:val="lowerRoman"/>
      <w:start w:val="8"/>
    </w:lvl>
  </w:abstractNum>
  <w:abstractNum w:abstractNumId="89">
    <w:nsid w:val="5675FF36"/>
    <w:multiLevelType w:val="hybridMultilevel"/>
    <w:lvl w:ilvl="0">
      <w:lvlJc w:val="left"/>
      <w:lvlText w:val="(%1)"/>
      <w:numFmt w:val="lowerLetter"/>
      <w:start w:val="1"/>
    </w:lvl>
    <w:lvl w:ilvl="1">
      <w:lvlJc w:val="left"/>
      <w:lvlText w:val="(%2)"/>
      <w:numFmt w:val="lowerRoman"/>
      <w:start w:val="1"/>
    </w:lvl>
  </w:abstractNum>
  <w:abstractNum w:abstractNumId="90">
    <w:nsid w:val="3DD1509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91">
    <w:nsid w:val="3DB012B3"/>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92">
    <w:nsid w:val="2708C9AF"/>
    <w:multiLevelType w:val="hybridMultilevel"/>
    <w:lvl w:ilvl="0">
      <w:lvlJc w:val="left"/>
      <w:lvlText w:val="(%1)"/>
      <w:numFmt w:val="lowerRoman"/>
      <w:start w:val="1"/>
    </w:lvl>
  </w:abstractNum>
  <w:abstractNum w:abstractNumId="93">
    <w:nsid w:val="5B25ACE2"/>
    <w:multiLevelType w:val="hybridMultilevel"/>
    <w:lvl w:ilvl="0">
      <w:lvlJc w:val="left"/>
      <w:lvlText w:val="(%1)"/>
      <w:numFmt w:val="lowerRoman"/>
      <w:start w:val="1"/>
    </w:lvl>
  </w:abstractNum>
  <w:abstractNum w:abstractNumId="94">
    <w:nsid w:val="175DFCF0"/>
    <w:multiLevelType w:val="hybridMultilevel"/>
    <w:lvl w:ilvl="0">
      <w:lvlJc w:val="left"/>
      <w:lvlText w:val="%1."/>
      <w:numFmt w:val="decimal"/>
      <w:start w:val="9"/>
    </w:lvl>
  </w:abstractNum>
  <w:abstractNum w:abstractNumId="95">
    <w:nsid w:val="4F97E3E4"/>
    <w:multiLevelType w:val="hybridMultilevel"/>
    <w:lvl w:ilvl="0">
      <w:lvlJc w:val="left"/>
      <w:lvlText w:val="(%1)"/>
      <w:numFmt w:val="lowerRoman"/>
      <w:start w:val="1"/>
    </w:lvl>
  </w:abstractNum>
  <w:abstractNum w:abstractNumId="96">
    <w:nsid w:val="53B0A9E"/>
    <w:multiLevelType w:val="hybridMultilevel"/>
    <w:lvl w:ilvl="0">
      <w:lvlJc w:val="left"/>
      <w:lvlText w:val="(%1)"/>
      <w:numFmt w:val="lowerRoman"/>
      <w:start w:val="5"/>
    </w:lvl>
  </w:abstractNum>
  <w:abstractNum w:abstractNumId="97">
    <w:nsid w:val="34FD6B4F"/>
    <w:multiLevelType w:val="hybridMultilevel"/>
    <w:lvl w:ilvl="0">
      <w:lvlJc w:val="left"/>
      <w:lvlText w:val="%1."/>
      <w:numFmt w:val="decimal"/>
      <w:start w:val="10"/>
    </w:lvl>
  </w:abstractNum>
  <w:abstractNum w:abstractNumId="98">
    <w:nsid w:val="5915FF32"/>
    <w:multiLevelType w:val="hybridMultilevel"/>
    <w:lvl w:ilvl="0">
      <w:lvlJc w:val="left"/>
      <w:lvlText w:val="(%1)"/>
      <w:numFmt w:val="lowerLetter"/>
      <w:start w:val="1"/>
    </w:lvl>
  </w:abstractNum>
  <w:abstractNum w:abstractNumId="99">
    <w:nsid w:val="56438D15"/>
    <w:multiLevelType w:val="hybridMultilevel"/>
    <w:lvl w:ilvl="0">
      <w:lvlJc w:val="left"/>
      <w:lvlText w:val="(%1)"/>
      <w:numFmt w:val="lowerRoman"/>
      <w:start w:val="2"/>
    </w:lvl>
  </w:abstractNum>
  <w:abstractNum w:abstractNumId="100">
    <w:nsid w:val="519E3149"/>
    <w:multiLevelType w:val="hybridMultilevel"/>
    <w:lvl w:ilvl="0">
      <w:lvlJc w:val="left"/>
      <w:lvlText w:val="(%1)"/>
      <w:numFmt w:val="lowerLetter"/>
      <w:start w:val="1"/>
    </w:lvl>
  </w:abstractNum>
  <w:abstractNum w:abstractNumId="101">
    <w:nsid w:val="2C6E4AFD"/>
    <w:multiLevelType w:val="hybridMultilevel"/>
    <w:lvl w:ilvl="0">
      <w:lvlJc w:val="left"/>
      <w:lvlText w:val="%1"/>
      <w:numFmt w:val="lowerLetter"/>
      <w:start w:val="1"/>
    </w:lvl>
    <w:lvl w:ilvl="1">
      <w:lvlJc w:val="left"/>
      <w:lvlText w:val="(%2)"/>
      <w:numFmt w:val="lowerRoman"/>
      <w:start w:val="1"/>
    </w:lvl>
  </w:abstractNum>
  <w:abstractNum w:abstractNumId="102">
    <w:nsid w:val="17A1B582"/>
    <w:multiLevelType w:val="hybridMultilevel"/>
    <w:lvl w:ilvl="0">
      <w:lvlJc w:val="left"/>
      <w:lvlText w:val="(%1)"/>
      <w:numFmt w:val="lowerLetter"/>
      <w:start w:val="2"/>
    </w:lvl>
    <w:lvl w:ilvl="1">
      <w:lvlJc w:val="left"/>
      <w:lvlText w:val="%2"/>
      <w:numFmt w:val="lowerRoman"/>
      <w:start w:val="1"/>
    </w:lvl>
  </w:abstractNum>
  <w:abstractNum w:abstractNumId="103">
    <w:nsid w:val="4DF72E4E"/>
    <w:multiLevelType w:val="hybridMultilevel"/>
    <w:lvl w:ilvl="0">
      <w:lvlJc w:val="left"/>
      <w:lvlText w:val="(%1)"/>
      <w:numFmt w:val="lowerLetter"/>
      <w:start w:val="1"/>
    </w:lvl>
    <w:lvl w:ilvl="1">
      <w:lvlJc w:val="left"/>
      <w:lvlText w:val="(%2)"/>
      <w:numFmt w:val="lowerLetter"/>
      <w:start w:val="9"/>
    </w:lvl>
  </w:abstractNum>
  <w:abstractNum w:abstractNumId="104">
    <w:nsid w:val="5046B5A9"/>
    <w:multiLevelType w:val="hybridMultilevel"/>
    <w:lvl w:ilvl="0">
      <w:lvlJc w:val="left"/>
      <w:lvlText w:val="%1"/>
      <w:numFmt w:val="lowerLetter"/>
      <w:start w:val="1"/>
    </w:lvl>
    <w:lvl w:ilvl="1">
      <w:lvlJc w:val="left"/>
      <w:lvlText w:val="(%2)"/>
      <w:numFmt w:val="lowerLetter"/>
      <w:start w:val="35"/>
    </w:lvl>
  </w:abstractNum>
  <w:abstractNum w:abstractNumId="105">
    <w:nsid w:val="5D888A08"/>
    <w:multiLevelType w:val="hybridMultilevel"/>
    <w:lvl w:ilvl="0">
      <w:lvlJc w:val="left"/>
      <w:lvlText w:val="(%1)"/>
      <w:numFmt w:val="lowerLetter"/>
      <w:start w:val="3"/>
    </w:lvl>
    <w:lvl w:ilvl="1">
      <w:lvlJc w:val="left"/>
      <w:lvlText w:val="%2"/>
      <w:numFmt w:val="lowerLetter"/>
      <w:start w:val="1"/>
    </w:lvl>
  </w:abstractNum>
  <w:abstractNum w:abstractNumId="106">
    <w:nsid w:val="2A082C70"/>
    <w:multiLevelType w:val="hybridMultilevel"/>
    <w:lvl w:ilvl="0">
      <w:lvlJc w:val="left"/>
      <w:lvlText w:val="(%1)"/>
      <w:numFmt w:val="lowerLetter"/>
      <w:start w:val="5"/>
    </w:lvl>
  </w:abstractNum>
  <w:abstractNum w:abstractNumId="107">
    <w:nsid w:val="5EC6AFD4"/>
    <w:multiLevelType w:val="hybridMultilevel"/>
    <w:lvl w:ilvl="0">
      <w:lvlJc w:val="left"/>
      <w:lvlText w:val="(%1)"/>
      <w:numFmt w:val="lowerLetter"/>
      <w:start w:val="1"/>
    </w:lvl>
  </w:abstractNum>
  <w:abstractNum w:abstractNumId="108">
    <w:nsid w:val="19E21BB2"/>
    <w:multiLevelType w:val="hybridMultilevel"/>
    <w:lvl w:ilvl="0">
      <w:lvlJc w:val="left"/>
      <w:lvlText w:val="%1."/>
      <w:numFmt w:val="decimal"/>
      <w:start w:val="11"/>
    </w:lvl>
  </w:abstractNum>
  <w:abstractNum w:abstractNumId="109">
    <w:nsid w:val="75E0858A"/>
    <w:multiLevelType w:val="hybridMultilevel"/>
    <w:lvl w:ilvl="0">
      <w:lvlJc w:val="left"/>
      <w:lvlText w:val="(%1)"/>
      <w:numFmt w:val="lowerRoman"/>
      <w:start w:val="1"/>
    </w:lvl>
  </w:abstractNum>
  <w:abstractNum w:abstractNumId="110">
    <w:nsid w:val="57A61A29"/>
    <w:multiLevelType w:val="hybridMultilevel"/>
    <w:lvl w:ilvl="0">
      <w:lvlJc w:val="left"/>
      <w:lvlText w:val="(%1)"/>
      <w:numFmt w:val="lowerRoman"/>
      <w:start w:val="1"/>
    </w:lvl>
    <w:lvl w:ilvl="1">
      <w:lvlJc w:val="left"/>
      <w:lvlText w:val="(%2)"/>
      <w:numFmt w:val="upperLetter"/>
      <w:start w:val="1"/>
    </w:lvl>
  </w:abstractNum>
  <w:abstractNum w:abstractNumId="111">
    <w:nsid w:val="5399C654"/>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112">
    <w:nsid w:val="20EE1348"/>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2"/>
    </w:lvl>
  </w:abstractNum>
  <w:abstractNum w:abstractNumId="113">
    <w:nsid w:val="4427069A"/>
    <w:multiLevelType w:val="hybridMultilevel"/>
    <w:lvl w:ilvl="0">
      <w:lvlJc w:val="left"/>
      <w:lvlText w:val="(%1)"/>
      <w:numFmt w:val="lowerRoman"/>
      <w:start w:val="8"/>
    </w:lvl>
  </w:abstractNum>
  <w:abstractNum w:abstractNumId="114">
    <w:nsid w:val="B37E80A"/>
    <w:multiLevelType w:val="hybridMultilevel"/>
    <w:lvl w:ilvl="0">
      <w:lvlJc w:val="left"/>
      <w:lvlText w:val="(%1)"/>
      <w:numFmt w:val="upperLetter"/>
      <w:start w:val="1"/>
    </w:lvl>
  </w:abstractNum>
  <w:abstractNum w:abstractNumId="115">
    <w:nsid w:val="2157F6BC"/>
    <w:multiLevelType w:val="hybridMultilevel"/>
    <w:lvl w:ilvl="0">
      <w:lvlJc w:val="left"/>
      <w:lvlText w:val="(%1)"/>
      <w:numFmt w:val="lowerLetter"/>
      <w:start w:val="1"/>
    </w:lvl>
  </w:abstractNum>
  <w:abstractNum w:abstractNumId="116">
    <w:nsid w:val="704E1DD5"/>
    <w:multiLevelType w:val="hybridMultilevel"/>
    <w:lvl w:ilvl="0">
      <w:lvlJc w:val="left"/>
      <w:lvlText w:val="(%1)"/>
      <w:numFmt w:val="lowerLetter"/>
      <w:start w:val="2"/>
    </w:lvl>
  </w:abstractNum>
  <w:abstractNum w:abstractNumId="117">
    <w:nsid w:val="57D2F10E"/>
    <w:multiLevelType w:val="hybridMultilevel"/>
    <w:lvl w:ilvl="0">
      <w:lvlJc w:val="left"/>
      <w:lvlText w:val="(%1)"/>
      <w:numFmt w:val="lowerLetter"/>
      <w:start w:val="5"/>
    </w:lvl>
  </w:abstractNum>
  <w:abstractNum w:abstractNumId="118">
    <w:nsid w:val="BFFAE18"/>
    <w:multiLevelType w:val="hybridMultilevel"/>
    <w:lvl w:ilvl="0">
      <w:lvlJc w:val="left"/>
      <w:lvlText w:val="(%1)"/>
      <w:numFmt w:val="lowerLetter"/>
      <w:start w:val="7"/>
    </w:lvl>
  </w:abstractNum>
  <w:abstractNum w:abstractNumId="119">
    <w:nsid w:val="E3E47A8"/>
    <w:multiLevelType w:val="hybridMultilevel"/>
    <w:lvl w:ilvl="0">
      <w:lvlJc w:val="left"/>
      <w:lvlText w:val="(%1)"/>
      <w:numFmt w:val="lowerRoman"/>
      <w:start w:val="1"/>
    </w:lvl>
  </w:abstractNum>
  <w:abstractNum w:abstractNumId="120">
    <w:nsid w:val="2E48F044"/>
    <w:multiLevelType w:val="hybridMultilevel"/>
    <w:lvl w:ilvl="0">
      <w:lvlJc w:val="left"/>
      <w:lvlText w:val="(%1)"/>
      <w:numFmt w:val="lowerRoman"/>
      <w:start w:val="1"/>
    </w:lvl>
  </w:abstractNum>
  <w:abstractNum w:abstractNumId="121">
    <w:nsid w:val="49D0FEAC"/>
    <w:multiLevelType w:val="hybridMultilevel"/>
    <w:lvl w:ilvl="0">
      <w:lvlJc w:val="left"/>
      <w:lvlText w:val="(%1)"/>
      <w:numFmt w:val="lowerRoman"/>
      <w:start w:val="2"/>
    </w:lvl>
  </w:abstractNum>
  <w:abstractNum w:abstractNumId="122">
    <w:nsid w:val="4BEE5A5B"/>
    <w:multiLevelType w:val="hybridMultilevel"/>
    <w:lvl w:ilvl="0">
      <w:lvlJc w:val="left"/>
      <w:lvlText w:val="(%1)"/>
      <w:numFmt w:val="lowerLetter"/>
      <w:start w:val="1"/>
    </w:lvl>
  </w:abstractNum>
  <w:abstractNum w:abstractNumId="123">
    <w:nsid w:val="5551B9F3"/>
    <w:multiLevelType w:val="hybridMultilevel"/>
    <w:lvl w:ilvl="0">
      <w:lvlJc w:val="left"/>
      <w:lvlText w:val="(%1)"/>
      <w:numFmt w:val="lowerLetter"/>
      <w:start w:val="2"/>
    </w:lvl>
  </w:abstractNum>
  <w:abstractNum w:abstractNumId="124">
    <w:nsid w:val="24F6AB8E"/>
    <w:multiLevelType w:val="hybridMultilevel"/>
    <w:lvl w:ilvl="0">
      <w:lvlJc w:val="left"/>
      <w:lvlText w:val="(%1)"/>
      <w:numFmt w:val="lowerLetter"/>
      <w:start w:val="1"/>
    </w:lvl>
  </w:abstractNum>
  <w:abstractNum w:abstractNumId="125">
    <w:nsid w:val="634C574C"/>
    <w:multiLevelType w:val="hybridMultilevel"/>
    <w:lvl w:ilvl="0">
      <w:lvlJc w:val="left"/>
      <w:lvlText w:val="(%1)"/>
      <w:numFmt w:val="lowerLetter"/>
      <w:start w:val="8"/>
    </w:lvl>
  </w:abstractNum>
  <w:abstractNum w:abstractNumId="126">
    <w:nsid w:val="24E99DD7"/>
    <w:multiLevelType w:val="hybridMultilevel"/>
    <w:lvl w:ilvl="0">
      <w:lvlJc w:val="left"/>
      <w:lvlText w:val="(%1)"/>
      <w:numFmt w:val="lowerLetter"/>
      <w:start w:val="1"/>
    </w:lvl>
  </w:abstractNum>
  <w:abstractNum w:abstractNumId="127">
    <w:nsid w:val="2A31B62D"/>
    <w:multiLevelType w:val="hybridMultilevel"/>
    <w:lvl w:ilvl="0">
      <w:lvlJc w:val="left"/>
      <w:lvlText w:val="%1."/>
      <w:numFmt w:val="decimal"/>
      <w:start w:val="1"/>
    </w:lvl>
  </w:abstractNum>
  <w:abstractNum w:abstractNumId="128">
    <w:nsid w:val="1849C29B"/>
    <w:multiLevelType w:val="hybridMultilevel"/>
    <w:lvl w:ilvl="0">
      <w:lvlJc w:val="left"/>
      <w:lvlText w:val="%1."/>
      <w:numFmt w:val="decimal"/>
      <w:start w:val="1"/>
    </w:lvl>
  </w:abstractNum>
  <w:abstractNum w:abstractNumId="129">
    <w:nsid w:val="7DFF9D09"/>
    <w:multiLevelType w:val="hybridMultilevel"/>
    <w:lvl w:ilvl="0">
      <w:lvlJc w:val="left"/>
      <w:lvlText w:val="%1."/>
      <w:numFmt w:val="decimal"/>
      <w:start w:val="2"/>
    </w:lvl>
  </w:abstractNum>
  <w:abstractNum w:abstractNumId="130">
    <w:nsid w:val="754342"/>
    <w:multiLevelType w:val="hybridMultilevel"/>
    <w:lvl w:ilvl="0">
      <w:lvlJc w:val="left"/>
      <w:lvlText w:val="%1."/>
      <w:numFmt w:val="decimal"/>
      <w:start w:val="8"/>
    </w:lvl>
  </w:abstractNum>
  <w:abstractNum w:abstractNumId="131">
    <w:nsid w:val="69E7F3E5"/>
    <w:multiLevelType w:val="hybridMultilevel"/>
    <w:lvl w:ilvl="0">
      <w:lvlJc w:val="left"/>
      <w:lvlText w:val="%1."/>
      <w:numFmt w:val="decimal"/>
      <w:start w:val="1"/>
    </w:lvl>
  </w:abstractNum>
  <w:abstractNum w:abstractNumId="132">
    <w:nsid w:val="2A6DE806"/>
    <w:multiLevelType w:val="hybridMultilevel"/>
    <w:lvl w:ilvl="0">
      <w:lvlJc w:val="left"/>
      <w:lvlText w:val="•"/>
      <w:numFmt w:val="bullet"/>
      <w:start w:val="1"/>
    </w:lvl>
  </w:abstractNum>
  <w:abstractNum w:abstractNumId="133">
    <w:nsid w:val="1816F8C4"/>
    <w:multiLevelType w:val="hybridMultilevel"/>
    <w:lvl w:ilvl="0">
      <w:lvlJc w:val="left"/>
      <w:lvlText w:val="•"/>
      <w:numFmt w:val="bullet"/>
      <w:start w:val="1"/>
    </w:lvl>
  </w:abstractNum>
  <w:abstractNum w:abstractNumId="134">
    <w:nsid w:val="37DF2233"/>
    <w:multiLevelType w:val="hybridMultilevel"/>
    <w:lvl w:ilvl="0">
      <w:lvlJc w:val="left"/>
      <w:lvlText w:val="•"/>
      <w:numFmt w:val="bullet"/>
      <w:start w:val="1"/>
    </w:lvl>
  </w:abstractNum>
  <w:abstractNum w:abstractNumId="135">
    <w:nsid w:val="7AB49DAF"/>
    <w:multiLevelType w:val="hybridMultilevel"/>
    <w:lvl w:ilvl="0">
      <w:lvlJc w:val="left"/>
      <w:lvlText w:val="%1."/>
      <w:numFmt w:val="decimal"/>
      <w:start w:val="1"/>
    </w:lvl>
  </w:abstractNum>
  <w:abstractNum w:abstractNumId="136">
    <w:nsid w:val="759F82CD"/>
    <w:multiLevelType w:val="hybridMultilevel"/>
    <w:lvl w:ilvl="0">
      <w:lvlJc w:val="left"/>
      <w:lvlText w:val="%1."/>
      <w:numFmt w:val="decimal"/>
      <w:start w:val="3"/>
    </w:lvl>
    <w:lvl w:ilvl="1">
      <w:lvlJc w:val="left"/>
      <w:lvlText w:val="(%2)"/>
      <w:numFmt w:val="lowerRoman"/>
      <w:start w:val="1"/>
    </w:lvl>
  </w:abstractNum>
  <w:abstractNum w:abstractNumId="137">
    <w:nsid w:val="61E74EA3"/>
    <w:multiLevelType w:val="hybridMultilevel"/>
    <w:lvl w:ilvl="0">
      <w:lvlJc w:val="left"/>
      <w:lvlText w:val="(%1)"/>
      <w:numFmt w:val="lowerRoman"/>
      <w:start w:val="1"/>
    </w:lvl>
  </w:abstractNum>
  <w:abstractNum w:abstractNumId="138">
    <w:nsid w:val="597B4D84"/>
    <w:multiLevelType w:val="hybridMultilevel"/>
    <w:lvl w:ilvl="0">
      <w:lvlJc w:val="left"/>
      <w:lvlText w:val="%1."/>
      <w:numFmt w:val="decimal"/>
      <w:start w:val="1"/>
    </w:lvl>
  </w:abstractNum>
  <w:abstractNum w:abstractNumId="139">
    <w:nsid w:val="F819E7F"/>
    <w:multiLevelType w:val="hybridMultilevel"/>
    <w:lvl w:ilvl="0">
      <w:lvlJc w:val="left"/>
      <w:lvlText w:val="%1."/>
      <w:numFmt w:val="decimal"/>
      <w:start w:val="2"/>
    </w:lvl>
  </w:abstractNum>
  <w:abstractNum w:abstractNumId="140">
    <w:nsid w:val="57C7D42D"/>
    <w:multiLevelType w:val="hybridMultilevel"/>
    <w:lvl w:ilvl="0">
      <w:lvlJc w:val="left"/>
      <w:lvlText w:val="%1."/>
      <w:numFmt w:val="decimal"/>
      <w:start w:val="1"/>
    </w:lvl>
    <w:lvl w:ilvl="1">
      <w:lvlJc w:val="left"/>
      <w:lvlText w:val="%2."/>
      <w:numFmt w:val="lowerLetter"/>
      <w:start w:val="1"/>
    </w:lvl>
  </w:abstractNum>
  <w:abstractNum w:abstractNumId="141">
    <w:nsid w:val="312167AD"/>
    <w:multiLevelType w:val="hybridMultilevel"/>
    <w:lvl w:ilvl="0">
      <w:lvlJc w:val="left"/>
      <w:lvlText w:val="%1."/>
      <w:numFmt w:val="decimal"/>
      <w:start w:val="4"/>
    </w:lvl>
  </w:abstractNum>
  <w:abstractNum w:abstractNumId="142">
    <w:nsid w:val="631B64D4"/>
    <w:multiLevelType w:val="hybridMultilevel"/>
    <w:lvl w:ilvl="0">
      <w:lvlJc w:val="left"/>
      <w:lvlText w:val="%1."/>
      <w:numFmt w:val="decimal"/>
      <w:start w:val="1"/>
    </w:lvl>
  </w:abstractNum>
  <w:abstractNum w:abstractNumId="143">
    <w:nsid w:val="78B5E776"/>
    <w:multiLevelType w:val="hybridMultilevel"/>
    <w:lvl w:ilvl="0">
      <w:lvlJc w:val="left"/>
      <w:lvlText w:val="%1."/>
      <w:numFmt w:val="decimal"/>
      <w:start w:val="2"/>
    </w:lvl>
  </w:abstractNum>
  <w:abstractNum w:abstractNumId="144">
    <w:nsid w:val="75486E47"/>
    <w:multiLevelType w:val="hybridMultilevel"/>
    <w:lvl w:ilvl="0">
      <w:lvlJc w:val="left"/>
      <w:lvlText w:val="%1."/>
      <w:numFmt w:val="decimal"/>
      <w:start w:val="3"/>
    </w:lvl>
  </w:abstractNum>
  <w:abstractNum w:abstractNumId="145">
    <w:nsid w:val="6E534CDE"/>
    <w:multiLevelType w:val="hybridMultilevel"/>
    <w:lvl w:ilvl="0">
      <w:lvlJc w:val="left"/>
      <w:lvlText w:val="%1."/>
      <w:numFmt w:val="lowerRoman"/>
      <w:start w:val="2"/>
    </w:lvl>
  </w:abstractNum>
  <w:abstractNum w:abstractNumId="146">
    <w:nsid w:val="1A0DDE32"/>
    <w:multiLevelType w:val="hybridMultilevel"/>
    <w:lvl w:ilvl="0">
      <w:lvlJc w:val="left"/>
      <w:lvlText w:val="%1."/>
      <w:numFmt w:val="lowerRoman"/>
      <w:start w:val="4"/>
    </w:lvl>
  </w:abstractNum>
  <w:abstractNum w:abstractNumId="147">
    <w:nsid w:val="65968C1C"/>
    <w:multiLevelType w:val="hybridMultilevel"/>
    <w:lvl w:ilvl="0">
      <w:lvlJc w:val="left"/>
      <w:lvlText w:val="%1."/>
      <w:numFmt w:val="lowerRoman"/>
      <w:start w:val="2"/>
    </w:lvl>
  </w:abstractNum>
  <w:abstractNum w:abstractNumId="148">
    <w:nsid w:val="46263DEC"/>
    <w:multiLevelType w:val="hybridMultilevel"/>
    <w:lvl w:ilvl="0">
      <w:lvlJc w:val="left"/>
      <w:lvlText w:val="(%1)"/>
      <w:numFmt w:val="decimal"/>
      <w:start w:val="1"/>
    </w:lvl>
  </w:abstractNum>
  <w:abstractNum w:abstractNumId="149">
    <w:nsid w:val="260D8C4A"/>
    <w:multiLevelType w:val="hybridMultilevel"/>
    <w:lvl w:ilvl="0">
      <w:lvlJc w:val="left"/>
      <w:lvlText w:val="%1."/>
      <w:numFmt w:val="decimal"/>
      <w:start w:val="1"/>
    </w:lvl>
    <w:lvl w:ilvl="1">
      <w:lvlJc w:val="left"/>
      <w:lvlText w:val="%2."/>
      <w:numFmt w:val="lowerLetter"/>
      <w:start w:val="1"/>
    </w:lvl>
  </w:abstractNum>
  <w:abstractNum w:abstractNumId="150">
    <w:nsid w:val="73D4D3C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2"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44" Type="http://schemas.openxmlformats.org/officeDocument/2006/relationships/hyperlink" Target="https://www.sec.gov/Archives/edgar/data/788329/000089706900000311/0000897069-00-000311.txt" TargetMode="External"/><Relationship Id="rId45" Type="http://schemas.openxmlformats.org/officeDocument/2006/relationships/hyperlink" Target="https://www.sec.gov/Archives/edgar/data/788329/000104216710000260/ex32jout201010k.htm" TargetMode="External"/><Relationship Id="rId46" Type="http://schemas.openxmlformats.org/officeDocument/2006/relationships/hyperlink" Target="https://www.sec.gov/Archives/edgar/data/788329/000114036119022062/ex4_1.htm" TargetMode="External"/><Relationship Id="rId47" Type="http://schemas.openxmlformats.org/officeDocument/2006/relationships/hyperlink" Target="https://www.sec.gov/Archives/edgar/data/788329/000119312517056302/d353941dsc13da.htm" TargetMode="External"/><Relationship Id="rId48" Type="http://schemas.openxmlformats.org/officeDocument/2006/relationships/hyperlink" Target="https://www.sec.gov/Archives/edgar/data/788329/000114036117045474/ex10_1.htm" TargetMode="External"/><Relationship Id="rId49" Type="http://schemas.openxmlformats.org/officeDocument/2006/relationships/hyperlink" Target="https://www.sec.gov/Archives/edgar/data/788329/000114036117045474/ex10_2.htm" TargetMode="External"/><Relationship Id="rId50" Type="http://schemas.openxmlformats.org/officeDocument/2006/relationships/hyperlink" Target="https://www.sec.gov/Archives/edgar/data/788329/000104216705000273/ex99-1tojuly262005form8k.htm" TargetMode="External"/><Relationship Id="rId51" Type="http://schemas.openxmlformats.org/officeDocument/2006/relationships/hyperlink" Target="https://www.sec.gov/Archives/edgar/data/788329/000104216714000004/formdef14a.htm" TargetMode="External"/><Relationship Id="rId52" Type="http://schemas.openxmlformats.org/officeDocument/2006/relationships/hyperlink" Target="https://www.sec.gov/Archives/edgar/data/788329/000089706904001054/cmw715b.htm" TargetMode="External"/><Relationship Id="rId53" Type="http://schemas.openxmlformats.org/officeDocument/2006/relationships/hyperlink" Target="https://www.sec.gov/Archives/edgar/data/788329/000089706904000989/cmw691b.htm" TargetMode="External"/><Relationship Id="rId54" Type="http://schemas.openxmlformats.org/officeDocument/2006/relationships/hyperlink" Target="https://www.sec.gov/Archives/edgar/data/788329/000089706904000989/cmw691c.htm" TargetMode="External"/><Relationship Id="rId55" Type="http://schemas.openxmlformats.org/officeDocument/2006/relationships/hyperlink" Target="https://www.sec.gov/Archives/edgar/data/788329/000114036117043297/ex99_1.htm" TargetMode="External"/><Relationship Id="rId56" Type="http://schemas.openxmlformats.org/officeDocument/2006/relationships/hyperlink" Target="https://www.sec.gov/Archives/edgar/data/788329/000104216710000080/ex992tojo8k3210.htm" TargetMode="External"/><Relationship Id="rId65" Type="http://schemas.openxmlformats.org/officeDocument/2006/relationships/hyperlink" Target="https://www.sec.gov/Archives/edgar/data/788329/000104216715000002/form14a.htm" TargetMode="External"/><Relationship Id="rId66" Type="http://schemas.openxmlformats.org/officeDocument/2006/relationships/hyperlink" Target="https://www.sec.gov/Archives/edgar/data/788329/000114036117001762/formdef14a.htm" TargetMode="External"/><Relationship Id="rId67" Type="http://schemas.openxmlformats.org/officeDocument/2006/relationships/hyperlink" Target="https://www.sec.gov/Archives/edgar/data/788329/000104216714000166/ex1031form10k.htm" TargetMode="External"/><Relationship Id="rId68" Type="http://schemas.openxmlformats.org/officeDocument/2006/relationships/hyperlink" Target="https://www.sec.gov/Archives/edgar/data/788329/000104216715000175/ex10-32dec32015form10k.htm" TargetMode="External"/><Relationship Id="rId69" Type="http://schemas.openxmlformats.org/officeDocument/2006/relationships/hyperlink" Target="https://www.sec.gov/Archives/edgar/data/788329/000114036118044715/ex10_14.htm" TargetMode="External"/><Relationship Id="rId70" Type="http://schemas.openxmlformats.org/officeDocument/2006/relationships/hyperlink" Target="https://www.sec.gov/Archives/edgar/data/788329/000114036120000601/nc10005440x1_def14a.htm" TargetMode="External"/><Relationship Id="rId71" Type="http://schemas.openxmlformats.org/officeDocument/2006/relationships/hyperlink" Target="https://www.sec.gov/Archives/edgar/data/788329/000114036120010704/ex99_2.htm" TargetMode="External"/><Relationship Id="rId72" Type="http://schemas.openxmlformats.org/officeDocument/2006/relationships/hyperlink" Target="https://www.sec.gov/Archives/edgar/data/788329/000114036120010704/ex99_3.htm" TargetMode="External"/><Relationship Id="rId81" Type="http://schemas.openxmlformats.org/officeDocument/2006/relationships/hyperlink" Target="https://www.sec.gov/Archives/edgar/data/788329/000114036121024629/brhc10026964_ex10-1.htm" TargetMode="External"/><Relationship Id="rId83" Type="http://schemas.openxmlformats.org/officeDocument/2006/relationships/hyperlink" Target="https://www.sec.gov/Archives/edgar/data/788329/000114036125002853/jout12272024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2025-12-12T14:32:56Z</dcterms:created>
  <dcterms:modified xsi:type="dcterms:W3CDTF">2025-12-12T14:32:56Z</dcterms:modified>
</cp:coreProperties>
</file>